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2A212" w14:textId="14BD45C9" w:rsidR="00A22F4A" w:rsidRDefault="00A22F4A" w:rsidP="00CC11CC">
      <w:pPr>
        <w:rPr>
          <w:rFonts w:ascii="Cambria" w:hAnsi="Cambria"/>
          <w:b/>
          <w:bCs/>
          <w:sz w:val="36"/>
          <w:szCs w:val="36"/>
        </w:rPr>
      </w:pPr>
      <w:r w:rsidRPr="00A22F4A">
        <w:rPr>
          <w:noProof/>
        </w:rPr>
        <w:drawing>
          <wp:inline distT="0" distB="0" distL="0" distR="0" wp14:anchorId="04398ECC" wp14:editId="04FAC110">
            <wp:extent cx="1838325" cy="1619250"/>
            <wp:effectExtent l="0" t="0" r="9525" b="0"/>
            <wp:docPr id="1" name="Picture 1" descr="C:\Users\INNOCENT\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CENT\Desktop\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619250"/>
                    </a:xfrm>
                    <a:prstGeom prst="rect">
                      <a:avLst/>
                    </a:prstGeom>
                    <a:noFill/>
                    <a:ln>
                      <a:noFill/>
                    </a:ln>
                  </pic:spPr>
                </pic:pic>
              </a:graphicData>
            </a:graphic>
          </wp:inline>
        </w:drawing>
      </w:r>
    </w:p>
    <w:p w14:paraId="03E0F8F1" w14:textId="77777777" w:rsidR="003836B8" w:rsidRDefault="003836B8" w:rsidP="003836B8">
      <w:pPr>
        <w:pStyle w:val="Heading1"/>
        <w:spacing w:before="22"/>
        <w:ind w:left="0"/>
        <w:jc w:val="both"/>
        <w:rPr>
          <w:sz w:val="22"/>
          <w:szCs w:val="22"/>
        </w:rPr>
      </w:pPr>
    </w:p>
    <w:p w14:paraId="1FDEFF68" w14:textId="77777777" w:rsidR="003836B8" w:rsidRPr="003836B8" w:rsidRDefault="0069751F" w:rsidP="003836B8">
      <w:pPr>
        <w:pStyle w:val="Heading1"/>
        <w:spacing w:before="22"/>
        <w:ind w:left="0"/>
        <w:jc w:val="both"/>
        <w:rPr>
          <w:b w:val="0"/>
          <w:sz w:val="22"/>
          <w:szCs w:val="22"/>
        </w:rPr>
      </w:pPr>
      <w:r w:rsidRPr="003836B8">
        <w:rPr>
          <w:sz w:val="22"/>
          <w:szCs w:val="22"/>
        </w:rPr>
        <w:t>Presentation title:</w:t>
      </w:r>
      <w:r w:rsidR="00CC11CC" w:rsidRPr="003836B8">
        <w:rPr>
          <w:b w:val="0"/>
          <w:bCs w:val="0"/>
          <w:sz w:val="22"/>
          <w:szCs w:val="22"/>
        </w:rPr>
        <w:t xml:space="preserve"> </w:t>
      </w:r>
      <w:r w:rsidR="003836B8" w:rsidRPr="003836B8">
        <w:rPr>
          <w:b w:val="0"/>
          <w:sz w:val="22"/>
          <w:szCs w:val="22"/>
        </w:rPr>
        <w:t>Healthcare Professionals’ Knowledge of, and Compliance with the ASCO/ESMO/GLIM Guidelines for the Diagnosis and Management of Cancer Cachexia (CC): The ASSIST- CC Baseline findings in Uganda</w:t>
      </w:r>
    </w:p>
    <w:p w14:paraId="48F901D6" w14:textId="77777777" w:rsidR="003836B8" w:rsidRPr="003836B8" w:rsidRDefault="003836B8" w:rsidP="003836B8">
      <w:pPr>
        <w:pStyle w:val="Heading1"/>
        <w:spacing w:before="22"/>
        <w:jc w:val="both"/>
        <w:rPr>
          <w:b w:val="0"/>
          <w:sz w:val="22"/>
          <w:szCs w:val="22"/>
        </w:rPr>
      </w:pPr>
    </w:p>
    <w:p w14:paraId="111C9CD6" w14:textId="7CD2038C" w:rsidR="0069751F" w:rsidRPr="003836B8" w:rsidRDefault="0069751F" w:rsidP="0069751F">
      <w:pPr>
        <w:rPr>
          <w:rFonts w:ascii="Arial" w:hAnsi="Arial" w:cs="Arial"/>
          <w:b/>
          <w:bCs/>
        </w:rPr>
      </w:pPr>
      <w:r w:rsidRPr="003836B8">
        <w:rPr>
          <w:rFonts w:ascii="Arial" w:hAnsi="Arial" w:cs="Arial"/>
          <w:b/>
          <w:bCs/>
        </w:rPr>
        <w:t>Corresponding Author name:</w:t>
      </w:r>
      <w:r w:rsidR="00CC11CC" w:rsidRPr="003836B8">
        <w:rPr>
          <w:rFonts w:ascii="Arial" w:hAnsi="Arial" w:cs="Arial"/>
          <w:b/>
          <w:bCs/>
        </w:rPr>
        <w:t xml:space="preserve"> </w:t>
      </w:r>
      <w:r w:rsidR="00CC11CC" w:rsidRPr="003836B8">
        <w:rPr>
          <w:rFonts w:ascii="Arial" w:hAnsi="Arial" w:cs="Arial"/>
          <w:bCs/>
        </w:rPr>
        <w:t xml:space="preserve">Innocent </w:t>
      </w:r>
      <w:proofErr w:type="spellStart"/>
      <w:r w:rsidR="00CC11CC" w:rsidRPr="003836B8">
        <w:rPr>
          <w:rFonts w:ascii="Arial" w:hAnsi="Arial" w:cs="Arial"/>
          <w:bCs/>
        </w:rPr>
        <w:t>Atuhe</w:t>
      </w:r>
      <w:proofErr w:type="spellEnd"/>
    </w:p>
    <w:p w14:paraId="103DFD49" w14:textId="637963F4" w:rsidR="0069751F" w:rsidRPr="003836B8" w:rsidRDefault="0069751F" w:rsidP="0069751F">
      <w:pPr>
        <w:rPr>
          <w:rFonts w:ascii="Arial" w:hAnsi="Arial" w:cs="Arial"/>
          <w:b/>
          <w:bCs/>
        </w:rPr>
      </w:pPr>
      <w:r w:rsidRPr="003836B8">
        <w:rPr>
          <w:rFonts w:ascii="Arial" w:hAnsi="Arial" w:cs="Arial"/>
          <w:b/>
          <w:bCs/>
        </w:rPr>
        <w:t>Affiliation:</w:t>
      </w:r>
      <w:r w:rsidR="002F3066" w:rsidRPr="003836B8">
        <w:rPr>
          <w:rFonts w:ascii="Arial" w:hAnsi="Arial" w:cs="Arial"/>
          <w:noProof/>
        </w:rPr>
        <w:t xml:space="preserve"> </w:t>
      </w:r>
      <w:r w:rsidR="00CC11CC" w:rsidRPr="003836B8">
        <w:rPr>
          <w:rFonts w:ascii="Arial" w:hAnsi="Arial" w:cs="Arial"/>
          <w:noProof/>
        </w:rPr>
        <w:t>Uganda Cancer Institute</w:t>
      </w:r>
    </w:p>
    <w:p w14:paraId="79C85317" w14:textId="42FC60BB" w:rsidR="0069751F" w:rsidRPr="003836B8" w:rsidRDefault="0069751F" w:rsidP="0069751F">
      <w:pPr>
        <w:rPr>
          <w:rFonts w:ascii="Arial" w:hAnsi="Arial" w:cs="Arial"/>
          <w:b/>
          <w:bCs/>
        </w:rPr>
      </w:pPr>
      <w:r w:rsidRPr="003836B8">
        <w:rPr>
          <w:rFonts w:ascii="Arial" w:hAnsi="Arial" w:cs="Arial"/>
          <w:b/>
          <w:bCs/>
        </w:rPr>
        <w:t>Ph. No:</w:t>
      </w:r>
      <w:r w:rsidR="00CC11CC" w:rsidRPr="003836B8">
        <w:rPr>
          <w:rFonts w:ascii="Arial" w:hAnsi="Arial" w:cs="Arial"/>
          <w:b/>
          <w:bCs/>
        </w:rPr>
        <w:t xml:space="preserve"> 256 777 747 779</w:t>
      </w:r>
    </w:p>
    <w:p w14:paraId="50E2EE96" w14:textId="7B7FA3BC" w:rsidR="0069751F" w:rsidRPr="003836B8" w:rsidRDefault="0069751F" w:rsidP="0069751F">
      <w:pPr>
        <w:rPr>
          <w:rFonts w:ascii="Arial" w:hAnsi="Arial" w:cs="Arial"/>
          <w:b/>
          <w:bCs/>
        </w:rPr>
      </w:pPr>
      <w:r w:rsidRPr="003836B8">
        <w:rPr>
          <w:rFonts w:ascii="Arial" w:hAnsi="Arial" w:cs="Arial"/>
          <w:b/>
          <w:bCs/>
        </w:rPr>
        <w:t>Email ID’s:</w:t>
      </w:r>
      <w:r w:rsidR="00CC11CC" w:rsidRPr="003836B8">
        <w:rPr>
          <w:rFonts w:ascii="Arial" w:hAnsi="Arial" w:cs="Arial"/>
          <w:b/>
          <w:bCs/>
        </w:rPr>
        <w:t xml:space="preserve"> </w:t>
      </w:r>
      <w:hyperlink r:id="rId6" w:history="1">
        <w:r w:rsidR="00CC11CC" w:rsidRPr="003836B8">
          <w:rPr>
            <w:rStyle w:val="Hyperlink"/>
            <w:rFonts w:ascii="Arial" w:hAnsi="Arial" w:cs="Arial"/>
            <w:b/>
            <w:bCs/>
          </w:rPr>
          <w:t>innocent504190@gmail.com</w:t>
        </w:r>
      </w:hyperlink>
    </w:p>
    <w:p w14:paraId="0D13D82C" w14:textId="4D58C050" w:rsidR="00CC11CC" w:rsidRPr="003836B8" w:rsidRDefault="0069751F" w:rsidP="004600F3">
      <w:pPr>
        <w:rPr>
          <w:rFonts w:ascii="Arial" w:hAnsi="Arial" w:cs="Arial"/>
          <w:b/>
          <w:bCs/>
        </w:rPr>
      </w:pPr>
      <w:r w:rsidRPr="003836B8">
        <w:rPr>
          <w:rFonts w:ascii="Arial" w:hAnsi="Arial" w:cs="Arial"/>
          <w:b/>
          <w:bCs/>
        </w:rPr>
        <w:t>WhatsApp No:</w:t>
      </w:r>
      <w:r w:rsidR="002F3066" w:rsidRPr="003836B8">
        <w:rPr>
          <w:rFonts w:ascii="Arial" w:hAnsi="Arial" w:cs="Arial"/>
          <w:b/>
          <w:bCs/>
        </w:rPr>
        <w:t xml:space="preserve"> </w:t>
      </w:r>
      <w:r w:rsidR="00CC11CC" w:rsidRPr="003836B8">
        <w:rPr>
          <w:rFonts w:ascii="Arial" w:hAnsi="Arial" w:cs="Arial"/>
          <w:b/>
          <w:bCs/>
        </w:rPr>
        <w:t>256777747779</w:t>
      </w:r>
      <w:r w:rsidR="004600F3" w:rsidRPr="003836B8">
        <w:rPr>
          <w:rFonts w:ascii="Arial" w:hAnsi="Arial" w:cs="Arial"/>
          <w:b/>
          <w:bCs/>
        </w:rPr>
        <w:br/>
      </w:r>
      <w:r w:rsidR="004600F3" w:rsidRPr="003836B8">
        <w:rPr>
          <w:rFonts w:ascii="Arial" w:hAnsi="Arial" w:cs="Arial"/>
          <w:b/>
          <w:bCs/>
        </w:rPr>
        <w:br/>
        <w:t xml:space="preserve">Twitter: </w:t>
      </w:r>
      <w:r w:rsidR="00CC11CC" w:rsidRPr="003836B8">
        <w:rPr>
          <w:rFonts w:ascii="Arial" w:hAnsi="Arial" w:cs="Arial"/>
          <w:bCs/>
        </w:rPr>
        <w:t>@</w:t>
      </w:r>
      <w:proofErr w:type="spellStart"/>
      <w:r w:rsidR="00CC11CC" w:rsidRPr="003836B8">
        <w:rPr>
          <w:rFonts w:ascii="Arial" w:hAnsi="Arial" w:cs="Arial"/>
          <w:bCs/>
        </w:rPr>
        <w:t>InnocentAtuhe</w:t>
      </w:r>
      <w:proofErr w:type="spellEnd"/>
    </w:p>
    <w:p w14:paraId="7A15FA7F" w14:textId="36918E21" w:rsidR="0069751F" w:rsidRPr="003836B8" w:rsidRDefault="004600F3" w:rsidP="0069751F">
      <w:pPr>
        <w:rPr>
          <w:rFonts w:ascii="Arial" w:hAnsi="Arial" w:cs="Arial"/>
          <w:b/>
          <w:bCs/>
        </w:rPr>
      </w:pPr>
      <w:r w:rsidRPr="003836B8">
        <w:rPr>
          <w:rFonts w:ascii="Arial" w:hAnsi="Arial" w:cs="Arial"/>
          <w:b/>
          <w:bCs/>
        </w:rPr>
        <w:t xml:space="preserve">LinkedIn: </w:t>
      </w:r>
      <w:proofErr w:type="spellStart"/>
      <w:r w:rsidR="00CC11CC" w:rsidRPr="003836B8">
        <w:rPr>
          <w:rFonts w:ascii="Arial" w:hAnsi="Arial" w:cs="Arial"/>
          <w:bCs/>
        </w:rPr>
        <w:t>InnocentAtuhe</w:t>
      </w:r>
      <w:proofErr w:type="spellEnd"/>
      <w:r w:rsidRPr="003836B8">
        <w:rPr>
          <w:rFonts w:ascii="Arial" w:hAnsi="Arial" w:cs="Arial"/>
          <w:b/>
          <w:bCs/>
        </w:rPr>
        <w:br/>
      </w:r>
      <w:r w:rsidRPr="003836B8">
        <w:rPr>
          <w:rFonts w:ascii="Arial" w:hAnsi="Arial" w:cs="Arial"/>
          <w:b/>
          <w:bCs/>
        </w:rPr>
        <w:br/>
        <w:t xml:space="preserve">Facebook: </w:t>
      </w:r>
      <w:proofErr w:type="spellStart"/>
      <w:r w:rsidR="00CC11CC" w:rsidRPr="003836B8">
        <w:rPr>
          <w:rFonts w:ascii="Arial" w:hAnsi="Arial" w:cs="Arial"/>
          <w:bCs/>
        </w:rPr>
        <w:t>InnocentAtuhe</w:t>
      </w:r>
      <w:proofErr w:type="spellEnd"/>
    </w:p>
    <w:p w14:paraId="04D25D6B" w14:textId="22CD36AA" w:rsidR="0069751F" w:rsidRPr="003836B8" w:rsidRDefault="0069751F" w:rsidP="003836B8">
      <w:pPr>
        <w:spacing w:before="184" w:line="240" w:lineRule="auto"/>
        <w:ind w:right="462"/>
        <w:jc w:val="both"/>
        <w:rPr>
          <w:rFonts w:ascii="Arial" w:hAnsi="Arial" w:cs="Arial"/>
          <w:i/>
        </w:rPr>
      </w:pPr>
      <w:r w:rsidRPr="003836B8">
        <w:rPr>
          <w:rFonts w:ascii="Arial" w:hAnsi="Arial" w:cs="Arial"/>
          <w:b/>
          <w:bCs/>
        </w:rPr>
        <w:t>Other Authors if any:</w:t>
      </w:r>
      <w:r w:rsidR="00CC11CC" w:rsidRPr="003836B8">
        <w:rPr>
          <w:rFonts w:ascii="Arial" w:hAnsi="Arial" w:cs="Arial"/>
          <w:b/>
          <w:bCs/>
        </w:rPr>
        <w:t xml:space="preserve"> </w:t>
      </w:r>
      <w:proofErr w:type="spellStart"/>
      <w:r w:rsidR="00CC11CC" w:rsidRPr="003836B8">
        <w:rPr>
          <w:rFonts w:ascii="Arial" w:hAnsi="Arial" w:cs="Arial"/>
          <w:bCs/>
          <w:i/>
        </w:rPr>
        <w:t>Jatho</w:t>
      </w:r>
      <w:proofErr w:type="spellEnd"/>
      <w:r w:rsidR="00CC11CC" w:rsidRPr="003836B8">
        <w:rPr>
          <w:rFonts w:ascii="Arial" w:hAnsi="Arial" w:cs="Arial"/>
          <w:bCs/>
          <w:i/>
        </w:rPr>
        <w:t xml:space="preserve"> Alfred</w:t>
      </w:r>
      <w:r w:rsidR="00CC11CC" w:rsidRPr="003836B8">
        <w:rPr>
          <w:rFonts w:ascii="Arial" w:hAnsi="Arial" w:cs="Arial"/>
          <w:b/>
          <w:bCs/>
          <w:i/>
        </w:rPr>
        <w:t xml:space="preserve">, </w:t>
      </w:r>
      <w:proofErr w:type="spellStart"/>
      <w:r w:rsidR="00A00DA3" w:rsidRPr="003836B8">
        <w:rPr>
          <w:rFonts w:ascii="Arial" w:hAnsi="Arial" w:cs="Arial"/>
          <w:i/>
        </w:rPr>
        <w:t>Babra</w:t>
      </w:r>
      <w:proofErr w:type="spellEnd"/>
      <w:r w:rsidR="00A00DA3" w:rsidRPr="003836B8">
        <w:rPr>
          <w:rFonts w:ascii="Arial" w:hAnsi="Arial" w:cs="Arial"/>
          <w:i/>
        </w:rPr>
        <w:t xml:space="preserve"> </w:t>
      </w:r>
      <w:proofErr w:type="spellStart"/>
      <w:r w:rsidR="00A00DA3" w:rsidRPr="003836B8">
        <w:rPr>
          <w:rFonts w:ascii="Arial" w:hAnsi="Arial" w:cs="Arial"/>
          <w:i/>
        </w:rPr>
        <w:t>Nalwadda</w:t>
      </w:r>
      <w:proofErr w:type="spellEnd"/>
      <w:r w:rsidR="00A00DA3" w:rsidRPr="003836B8">
        <w:rPr>
          <w:rFonts w:ascii="Arial" w:hAnsi="Arial" w:cs="Arial"/>
          <w:i/>
        </w:rPr>
        <w:t xml:space="preserve">, </w:t>
      </w:r>
      <w:r w:rsidR="00A00DA3" w:rsidRPr="003836B8">
        <w:rPr>
          <w:rFonts w:ascii="Arial" w:hAnsi="Arial" w:cs="Arial"/>
          <w:i/>
        </w:rPr>
        <w:t xml:space="preserve">Judith </w:t>
      </w:r>
      <w:proofErr w:type="spellStart"/>
      <w:r w:rsidR="00A00DA3" w:rsidRPr="003836B8">
        <w:rPr>
          <w:rFonts w:ascii="Arial" w:hAnsi="Arial" w:cs="Arial"/>
          <w:i/>
        </w:rPr>
        <w:t>Asasira</w:t>
      </w:r>
      <w:proofErr w:type="spellEnd"/>
      <w:r w:rsidR="00A00DA3" w:rsidRPr="003836B8">
        <w:rPr>
          <w:rFonts w:ascii="Arial" w:hAnsi="Arial" w:cs="Arial"/>
          <w:i/>
        </w:rPr>
        <w:t>,</w:t>
      </w:r>
      <w:r w:rsidR="00A00DA3" w:rsidRPr="003836B8">
        <w:rPr>
          <w:rFonts w:ascii="Arial" w:hAnsi="Arial" w:cs="Arial"/>
          <w:i/>
        </w:rPr>
        <w:t xml:space="preserve"> Martha </w:t>
      </w:r>
      <w:proofErr w:type="spellStart"/>
      <w:r w:rsidR="00A00DA3" w:rsidRPr="003836B8">
        <w:rPr>
          <w:rFonts w:ascii="Arial" w:hAnsi="Arial" w:cs="Arial"/>
          <w:i/>
        </w:rPr>
        <w:t>Nantayi</w:t>
      </w:r>
      <w:proofErr w:type="spellEnd"/>
      <w:r w:rsidR="00A00DA3" w:rsidRPr="003836B8">
        <w:rPr>
          <w:rFonts w:ascii="Arial" w:hAnsi="Arial" w:cs="Arial"/>
          <w:i/>
        </w:rPr>
        <w:t xml:space="preserve">, Joseph </w:t>
      </w:r>
      <w:proofErr w:type="spellStart"/>
      <w:r w:rsidR="00A00DA3" w:rsidRPr="003836B8">
        <w:rPr>
          <w:rFonts w:ascii="Arial" w:hAnsi="Arial" w:cs="Arial"/>
          <w:i/>
        </w:rPr>
        <w:t>Semujju</w:t>
      </w:r>
      <w:proofErr w:type="spellEnd"/>
      <w:r w:rsidR="00A00DA3" w:rsidRPr="003836B8">
        <w:rPr>
          <w:rFonts w:ascii="Arial" w:hAnsi="Arial" w:cs="Arial"/>
          <w:i/>
        </w:rPr>
        <w:t xml:space="preserve">, </w:t>
      </w:r>
      <w:proofErr w:type="spellStart"/>
      <w:r w:rsidR="00A00DA3" w:rsidRPr="003836B8">
        <w:rPr>
          <w:rFonts w:ascii="Arial" w:hAnsi="Arial" w:cs="Arial"/>
          <w:i/>
        </w:rPr>
        <w:t>Naome</w:t>
      </w:r>
      <w:proofErr w:type="spellEnd"/>
      <w:r w:rsidR="00A00DA3" w:rsidRPr="003836B8">
        <w:rPr>
          <w:rFonts w:ascii="Arial" w:hAnsi="Arial" w:cs="Arial"/>
          <w:i/>
        </w:rPr>
        <w:t xml:space="preserve"> </w:t>
      </w:r>
      <w:proofErr w:type="spellStart"/>
      <w:r w:rsidR="00A00DA3" w:rsidRPr="003836B8">
        <w:rPr>
          <w:rFonts w:ascii="Arial" w:hAnsi="Arial" w:cs="Arial"/>
          <w:i/>
        </w:rPr>
        <w:t>Namwira</w:t>
      </w:r>
      <w:proofErr w:type="spellEnd"/>
      <w:r w:rsidR="00A00DA3" w:rsidRPr="003836B8">
        <w:rPr>
          <w:rFonts w:ascii="Arial" w:hAnsi="Arial" w:cs="Arial"/>
          <w:i/>
        </w:rPr>
        <w:t xml:space="preserve">, </w:t>
      </w:r>
      <w:proofErr w:type="spellStart"/>
      <w:r w:rsidR="00A00DA3" w:rsidRPr="003836B8">
        <w:rPr>
          <w:rFonts w:ascii="Arial" w:hAnsi="Arial" w:cs="Arial"/>
          <w:i/>
        </w:rPr>
        <w:t>Kulusum</w:t>
      </w:r>
      <w:proofErr w:type="spellEnd"/>
      <w:r w:rsidR="00A00DA3" w:rsidRPr="003836B8">
        <w:rPr>
          <w:rFonts w:ascii="Arial" w:hAnsi="Arial" w:cs="Arial"/>
          <w:i/>
        </w:rPr>
        <w:t xml:space="preserve"> </w:t>
      </w:r>
      <w:proofErr w:type="spellStart"/>
      <w:r w:rsidR="00A00DA3" w:rsidRPr="003836B8">
        <w:rPr>
          <w:rFonts w:ascii="Arial" w:hAnsi="Arial" w:cs="Arial"/>
          <w:i/>
        </w:rPr>
        <w:t>Namayanja</w:t>
      </w:r>
      <w:proofErr w:type="spellEnd"/>
      <w:r w:rsidR="00A00DA3" w:rsidRPr="003836B8">
        <w:rPr>
          <w:rFonts w:ascii="Arial" w:hAnsi="Arial" w:cs="Arial"/>
          <w:i/>
        </w:rPr>
        <w:t xml:space="preserve">, </w:t>
      </w:r>
      <w:r w:rsidR="00A00DA3" w:rsidRPr="003836B8">
        <w:rPr>
          <w:rFonts w:ascii="Arial" w:hAnsi="Arial" w:cs="Arial"/>
          <w:i/>
        </w:rPr>
        <w:t xml:space="preserve">Ashley </w:t>
      </w:r>
      <w:proofErr w:type="spellStart"/>
      <w:r w:rsidR="00A00DA3" w:rsidRPr="003836B8">
        <w:rPr>
          <w:rFonts w:ascii="Arial" w:hAnsi="Arial" w:cs="Arial"/>
          <w:i/>
        </w:rPr>
        <w:t>Atwine</w:t>
      </w:r>
      <w:proofErr w:type="spellEnd"/>
      <w:r w:rsidR="00A00DA3" w:rsidRPr="003836B8">
        <w:rPr>
          <w:rFonts w:ascii="Arial" w:hAnsi="Arial" w:cs="Arial"/>
          <w:i/>
        </w:rPr>
        <w:t xml:space="preserve">, </w:t>
      </w:r>
      <w:proofErr w:type="spellStart"/>
      <w:r w:rsidR="00A00DA3" w:rsidRPr="003836B8">
        <w:rPr>
          <w:rFonts w:ascii="Arial" w:hAnsi="Arial" w:cs="Arial"/>
          <w:i/>
        </w:rPr>
        <w:t>Semei</w:t>
      </w:r>
      <w:proofErr w:type="spellEnd"/>
      <w:r w:rsidR="00A00DA3" w:rsidRPr="003836B8">
        <w:rPr>
          <w:rFonts w:ascii="Arial" w:hAnsi="Arial" w:cs="Arial"/>
          <w:i/>
        </w:rPr>
        <w:t xml:space="preserve"> </w:t>
      </w:r>
      <w:proofErr w:type="spellStart"/>
      <w:r w:rsidR="00A00DA3" w:rsidRPr="003836B8">
        <w:rPr>
          <w:rFonts w:ascii="Arial" w:hAnsi="Arial" w:cs="Arial"/>
          <w:i/>
        </w:rPr>
        <w:t>Buwambaza</w:t>
      </w:r>
      <w:proofErr w:type="spellEnd"/>
      <w:r w:rsidR="00A00DA3" w:rsidRPr="003836B8">
        <w:rPr>
          <w:rFonts w:ascii="Arial" w:hAnsi="Arial" w:cs="Arial"/>
          <w:i/>
        </w:rPr>
        <w:t xml:space="preserve"> </w:t>
      </w:r>
      <w:proofErr w:type="spellStart"/>
      <w:r w:rsidR="00A00DA3" w:rsidRPr="003836B8">
        <w:rPr>
          <w:rFonts w:ascii="Arial" w:hAnsi="Arial" w:cs="Arial"/>
          <w:i/>
        </w:rPr>
        <w:t>Sekitene</w:t>
      </w:r>
      <w:proofErr w:type="spellEnd"/>
      <w:r w:rsidR="00A00DA3" w:rsidRPr="003836B8">
        <w:rPr>
          <w:rFonts w:ascii="Arial" w:hAnsi="Arial" w:cs="Arial"/>
          <w:i/>
        </w:rPr>
        <w:t>, Jackson Orem</w:t>
      </w:r>
      <w:r w:rsidR="00A00DA3" w:rsidRPr="003836B8">
        <w:rPr>
          <w:rFonts w:ascii="Arial" w:hAnsi="Arial" w:cs="Arial"/>
          <w:i/>
        </w:rPr>
        <w:t>.</w:t>
      </w:r>
      <w:r w:rsidR="00A00DA3" w:rsidRPr="003836B8">
        <w:rPr>
          <w:rFonts w:ascii="Arial" w:hAnsi="Arial" w:cs="Arial"/>
          <w:i/>
        </w:rPr>
        <w:t xml:space="preserve"> </w:t>
      </w:r>
    </w:p>
    <w:p w14:paraId="0FEC6D6C" w14:textId="3F66A1F7" w:rsidR="002F3066" w:rsidRPr="003836B8" w:rsidRDefault="002F3066" w:rsidP="0069751F">
      <w:pPr>
        <w:rPr>
          <w:rFonts w:ascii="Arial" w:hAnsi="Arial" w:cs="Arial"/>
        </w:rPr>
      </w:pPr>
      <w:r w:rsidRPr="003836B8">
        <w:rPr>
          <w:rFonts w:ascii="Arial" w:hAnsi="Arial" w:cs="Arial"/>
          <w:b/>
          <w:bCs/>
        </w:rPr>
        <w:t xml:space="preserve">Presentation type: </w:t>
      </w:r>
      <w:r w:rsidRPr="003836B8">
        <w:rPr>
          <w:rFonts w:ascii="Arial" w:hAnsi="Arial" w:cs="Arial"/>
        </w:rPr>
        <w:t>Oral presentation</w:t>
      </w:r>
    </w:p>
    <w:p w14:paraId="10459537" w14:textId="5F606821" w:rsidR="002F3066" w:rsidRPr="003836B8" w:rsidRDefault="002F3066" w:rsidP="0069751F">
      <w:pPr>
        <w:rPr>
          <w:rFonts w:ascii="Arial" w:hAnsi="Arial" w:cs="Arial"/>
          <w:b/>
          <w:bCs/>
        </w:rPr>
      </w:pPr>
      <w:r w:rsidRPr="003836B8">
        <w:rPr>
          <w:rFonts w:ascii="Arial" w:hAnsi="Arial" w:cs="Arial"/>
          <w:b/>
          <w:bCs/>
        </w:rPr>
        <w:t xml:space="preserve">Abstract </w:t>
      </w:r>
    </w:p>
    <w:p w14:paraId="09158AD3" w14:textId="0F623B1E" w:rsidR="003836B8" w:rsidRPr="003836B8" w:rsidRDefault="003836B8" w:rsidP="003836B8">
      <w:pPr>
        <w:spacing w:before="181"/>
        <w:ind w:right="211"/>
        <w:jc w:val="both"/>
        <w:rPr>
          <w:rFonts w:ascii="Arial" w:hAnsi="Arial" w:cs="Arial"/>
          <w:b/>
          <w:iCs/>
        </w:rPr>
      </w:pPr>
      <w:r w:rsidRPr="003836B8">
        <w:rPr>
          <w:rFonts w:ascii="Arial" w:hAnsi="Arial" w:cs="Arial"/>
          <w:b/>
          <w:iCs/>
          <w:color w:val="333333"/>
        </w:rPr>
        <w:t>Background</w:t>
      </w:r>
      <w:r>
        <w:rPr>
          <w:rFonts w:ascii="Arial" w:hAnsi="Arial" w:cs="Arial"/>
          <w:b/>
          <w:iCs/>
        </w:rPr>
        <w:t xml:space="preserve">: </w:t>
      </w:r>
      <w:r w:rsidRPr="003836B8">
        <w:rPr>
          <w:rFonts w:ascii="Arial" w:hAnsi="Arial" w:cs="Arial"/>
        </w:rPr>
        <w:t>More than 50% of people with advanced cancer suffer from cancer related cachexia</w:t>
      </w:r>
      <w:r w:rsidRPr="003836B8">
        <w:rPr>
          <w:rFonts w:ascii="Arial" w:hAnsi="Arial" w:cs="Arial"/>
          <w:spacing w:val="1"/>
        </w:rPr>
        <w:t xml:space="preserve"> </w:t>
      </w:r>
      <w:r w:rsidRPr="003836B8">
        <w:rPr>
          <w:rFonts w:ascii="Arial" w:hAnsi="Arial" w:cs="Arial"/>
        </w:rPr>
        <w:t xml:space="preserve">(CC) – a major contributor to morbidity and mortality. </w:t>
      </w:r>
      <w:r w:rsidRPr="003836B8">
        <w:rPr>
          <w:rFonts w:ascii="Arial" w:hAnsi="Arial" w:cs="Arial"/>
          <w:bCs/>
          <w:iCs/>
          <w:color w:val="2D2D2D"/>
          <w:u w:color="2D2D2D"/>
        </w:rPr>
        <w:t xml:space="preserve">Despite lack of local guidelines on CC diagnosis and management in Uganda, the American Society of Clinical Oncology (ASCO), </w:t>
      </w:r>
      <w:proofErr w:type="gramStart"/>
      <w:r w:rsidRPr="003836B8">
        <w:rPr>
          <w:rFonts w:ascii="Arial" w:hAnsi="Arial" w:cs="Arial"/>
          <w:bCs/>
          <w:iCs/>
          <w:color w:val="2D2D2D"/>
          <w:u w:color="2D2D2D"/>
        </w:rPr>
        <w:t>the</w:t>
      </w:r>
      <w:proofErr w:type="gramEnd"/>
      <w:r w:rsidRPr="003836B8">
        <w:rPr>
          <w:rFonts w:ascii="Arial" w:hAnsi="Arial" w:cs="Arial"/>
          <w:bCs/>
          <w:iCs/>
          <w:color w:val="2D2D2D"/>
          <w:u w:color="2D2D2D"/>
        </w:rPr>
        <w:t xml:space="preserve"> European Society for Medical Oncology (ESMO) and or the Global Leadership Initiative on Malnutrition (GLIM) developed guidelines on CC screening and management. However, the level of knowledge on CC and compliance with the available guidelines among the Ugandan oncology health professionals is unknown. </w:t>
      </w:r>
      <w:r w:rsidRPr="003836B8">
        <w:rPr>
          <w:rFonts w:ascii="Arial" w:hAnsi="Arial" w:cs="Arial"/>
          <w:bCs/>
        </w:rPr>
        <w:t xml:space="preserve">This study aimed to assess the level of  </w:t>
      </w:r>
      <w:r w:rsidRPr="003836B8">
        <w:rPr>
          <w:rFonts w:ascii="Arial" w:hAnsi="Arial" w:cs="Arial"/>
          <w:bCs/>
          <w:spacing w:val="-64"/>
        </w:rPr>
        <w:t xml:space="preserve"> </w:t>
      </w:r>
      <w:r w:rsidRPr="003836B8">
        <w:rPr>
          <w:rFonts w:ascii="Arial" w:hAnsi="Arial" w:cs="Arial"/>
          <w:i/>
        </w:rPr>
        <w:t>awareness</w:t>
      </w:r>
      <w:r w:rsidRPr="003836B8">
        <w:rPr>
          <w:rFonts w:ascii="Arial" w:hAnsi="Arial" w:cs="Arial"/>
          <w:i/>
          <w:spacing w:val="1"/>
        </w:rPr>
        <w:t xml:space="preserve"> </w:t>
      </w:r>
      <w:r w:rsidRPr="003836B8">
        <w:rPr>
          <w:rFonts w:ascii="Arial" w:hAnsi="Arial" w:cs="Arial"/>
          <w:i/>
        </w:rPr>
        <w:t>and</w:t>
      </w:r>
      <w:r w:rsidRPr="003836B8">
        <w:rPr>
          <w:rFonts w:ascii="Arial" w:hAnsi="Arial" w:cs="Arial"/>
          <w:i/>
          <w:spacing w:val="1"/>
        </w:rPr>
        <w:t xml:space="preserve"> </w:t>
      </w:r>
      <w:r w:rsidRPr="003836B8">
        <w:rPr>
          <w:rFonts w:ascii="Arial" w:hAnsi="Arial" w:cs="Arial"/>
          <w:i/>
        </w:rPr>
        <w:t>knowledge</w:t>
      </w:r>
      <w:r w:rsidRPr="003836B8">
        <w:rPr>
          <w:rFonts w:ascii="Arial" w:hAnsi="Arial" w:cs="Arial"/>
          <w:i/>
          <w:spacing w:val="1"/>
        </w:rPr>
        <w:t xml:space="preserve"> </w:t>
      </w:r>
      <w:r w:rsidRPr="003836B8">
        <w:rPr>
          <w:rFonts w:ascii="Arial" w:hAnsi="Arial" w:cs="Arial"/>
          <w:i/>
        </w:rPr>
        <w:t>of</w:t>
      </w:r>
      <w:r w:rsidRPr="003836B8">
        <w:rPr>
          <w:rFonts w:ascii="Arial" w:hAnsi="Arial" w:cs="Arial"/>
          <w:i/>
          <w:spacing w:val="1"/>
        </w:rPr>
        <w:t xml:space="preserve"> </w:t>
      </w:r>
      <w:r w:rsidRPr="003836B8">
        <w:rPr>
          <w:rFonts w:ascii="Arial" w:hAnsi="Arial" w:cs="Arial"/>
          <w:i/>
        </w:rPr>
        <w:t>cancer</w:t>
      </w:r>
      <w:r w:rsidRPr="003836B8">
        <w:rPr>
          <w:rFonts w:ascii="Arial" w:hAnsi="Arial" w:cs="Arial"/>
          <w:i/>
          <w:spacing w:val="1"/>
        </w:rPr>
        <w:t xml:space="preserve"> </w:t>
      </w:r>
      <w:r w:rsidRPr="003836B8">
        <w:rPr>
          <w:rFonts w:ascii="Arial" w:hAnsi="Arial" w:cs="Arial"/>
          <w:i/>
        </w:rPr>
        <w:t>cachexia</w:t>
      </w:r>
      <w:r w:rsidRPr="003836B8">
        <w:rPr>
          <w:rFonts w:ascii="Arial" w:hAnsi="Arial" w:cs="Arial"/>
          <w:i/>
          <w:spacing w:val="1"/>
        </w:rPr>
        <w:t xml:space="preserve"> diagnosis and management and compliance with the ASCO / ESMO/ GLIM guidelines on CC </w:t>
      </w:r>
      <w:r w:rsidRPr="003836B8">
        <w:rPr>
          <w:rFonts w:ascii="Arial" w:hAnsi="Arial" w:cs="Arial"/>
        </w:rPr>
        <w:t>among</w:t>
      </w:r>
      <w:r w:rsidRPr="003836B8">
        <w:rPr>
          <w:rFonts w:ascii="Arial" w:hAnsi="Arial" w:cs="Arial"/>
          <w:spacing w:val="1"/>
        </w:rPr>
        <w:t xml:space="preserve"> </w:t>
      </w:r>
      <w:r w:rsidRPr="003836B8">
        <w:rPr>
          <w:rFonts w:ascii="Arial" w:hAnsi="Arial" w:cs="Arial"/>
          <w:i/>
        </w:rPr>
        <w:t xml:space="preserve">healthcare professionals </w:t>
      </w:r>
      <w:r w:rsidRPr="003836B8">
        <w:rPr>
          <w:rFonts w:ascii="Arial" w:hAnsi="Arial" w:cs="Arial"/>
        </w:rPr>
        <w:t>involved in the care of cancer patients.</w:t>
      </w:r>
    </w:p>
    <w:p w14:paraId="1A7B758E" w14:textId="77777777" w:rsidR="003836B8" w:rsidRPr="003836B8" w:rsidRDefault="003836B8" w:rsidP="003836B8">
      <w:pPr>
        <w:spacing w:before="1"/>
        <w:ind w:left="100" w:right="213"/>
        <w:jc w:val="both"/>
        <w:rPr>
          <w:rFonts w:ascii="Arial" w:hAnsi="Arial" w:cs="Arial"/>
          <w:b/>
          <w:bCs/>
          <w:i/>
        </w:rPr>
      </w:pPr>
    </w:p>
    <w:p w14:paraId="4F2D3C19" w14:textId="77C5DD9B" w:rsidR="003836B8" w:rsidRPr="003836B8" w:rsidRDefault="003836B8" w:rsidP="003836B8">
      <w:pPr>
        <w:spacing w:before="1"/>
        <w:ind w:left="100" w:right="213"/>
        <w:jc w:val="both"/>
        <w:rPr>
          <w:rFonts w:ascii="Arial" w:hAnsi="Arial" w:cs="Arial"/>
          <w:b/>
          <w:bCs/>
          <w:iCs/>
        </w:rPr>
      </w:pPr>
      <w:r w:rsidRPr="003836B8">
        <w:rPr>
          <w:rFonts w:ascii="Arial" w:hAnsi="Arial" w:cs="Arial"/>
          <w:b/>
          <w:bCs/>
          <w:iCs/>
        </w:rPr>
        <w:lastRenderedPageBreak/>
        <w:t>Methods</w:t>
      </w:r>
      <w:r>
        <w:rPr>
          <w:rFonts w:ascii="Arial" w:hAnsi="Arial" w:cs="Arial"/>
          <w:b/>
          <w:bCs/>
          <w:iCs/>
        </w:rPr>
        <w:t xml:space="preserve">: </w:t>
      </w:r>
      <w:r w:rsidRPr="003836B8">
        <w:rPr>
          <w:rFonts w:ascii="Arial" w:hAnsi="Arial" w:cs="Arial"/>
          <w:bCs/>
          <w:iCs/>
        </w:rPr>
        <w:t xml:space="preserve">In this phase one, a self-administered structured questionnaire developed using the </w:t>
      </w:r>
      <w:r w:rsidRPr="003836B8">
        <w:rPr>
          <w:rFonts w:ascii="Arial" w:hAnsi="Arial" w:cs="Arial"/>
        </w:rPr>
        <w:t xml:space="preserve">ASCO /ESMO and GLIM guidelines on diagnosis and management of CC was used to assess the level of awareness, and knowledge of 200 health professionals from three hospital settings on CC, and compliance with the ASCO /ESMO / GLIM guidelines on CC related core communication, barriers to communication, clinician training in communication, discussing goals of care, treatment options, and meeting the needs of the underserved populations. The data was entered into </w:t>
      </w:r>
      <w:proofErr w:type="spellStart"/>
      <w:r w:rsidRPr="003836B8">
        <w:rPr>
          <w:rFonts w:ascii="Arial" w:hAnsi="Arial" w:cs="Arial"/>
        </w:rPr>
        <w:t>REDCap</w:t>
      </w:r>
      <w:proofErr w:type="spellEnd"/>
      <w:r w:rsidRPr="003836B8">
        <w:rPr>
          <w:rFonts w:ascii="Arial" w:hAnsi="Arial" w:cs="Arial"/>
        </w:rPr>
        <w:t xml:space="preserve"> (Research Electronic Data Capture) software analyzed using STATA version 18.0 software.</w:t>
      </w:r>
    </w:p>
    <w:p w14:paraId="39F3AAC7" w14:textId="619870E5" w:rsidR="003836B8" w:rsidRPr="003836B8" w:rsidRDefault="003836B8" w:rsidP="003836B8">
      <w:pPr>
        <w:ind w:left="100" w:right="214"/>
        <w:jc w:val="both"/>
        <w:rPr>
          <w:rFonts w:ascii="Arial" w:hAnsi="Arial" w:cs="Arial"/>
          <w:b/>
          <w:bCs/>
          <w:iCs/>
        </w:rPr>
      </w:pPr>
      <w:r w:rsidRPr="003836B8">
        <w:rPr>
          <w:rFonts w:ascii="Arial" w:hAnsi="Arial" w:cs="Arial"/>
          <w:b/>
          <w:bCs/>
          <w:iCs/>
        </w:rPr>
        <w:t>Results</w:t>
      </w:r>
      <w:r>
        <w:rPr>
          <w:rFonts w:ascii="Arial" w:hAnsi="Arial" w:cs="Arial"/>
          <w:b/>
          <w:bCs/>
          <w:iCs/>
        </w:rPr>
        <w:t xml:space="preserve">: </w:t>
      </w:r>
      <w:r w:rsidRPr="003836B8">
        <w:rPr>
          <w:rFonts w:ascii="Arial" w:hAnsi="Arial" w:cs="Arial"/>
          <w:bCs/>
          <w:iCs/>
        </w:rPr>
        <w:t>T</w:t>
      </w:r>
      <w:r w:rsidRPr="003836B8">
        <w:rPr>
          <w:rFonts w:ascii="Arial" w:hAnsi="Arial" w:cs="Arial"/>
        </w:rPr>
        <w:t xml:space="preserve">he overall objectively correct knowledge score of cancer cachexia diagnosis criteria was 67.5% (n=135), yet there was a much lower </w:t>
      </w:r>
      <w:bookmarkStart w:id="0" w:name="_Hlk155812772"/>
      <w:r w:rsidRPr="003836B8">
        <w:rPr>
          <w:rFonts w:ascii="Arial" w:hAnsi="Arial" w:cs="Arial"/>
        </w:rPr>
        <w:t>level of awareness about ASCO /ESMO/ GLIM guidelines on CC</w:t>
      </w:r>
      <w:bookmarkEnd w:id="0"/>
      <w:r w:rsidRPr="003836B8">
        <w:rPr>
          <w:rFonts w:ascii="Arial" w:hAnsi="Arial" w:cs="Arial"/>
        </w:rPr>
        <w:t xml:space="preserve"> at 30% (n=60) and only 21% (n=42) of the HCPs have ever assessed Quality of life of CC patients. The compliance with ASCO /ESMO / GLIM guidelines on nutritional interventions for patients with cancer cachexia varied across the variables markedly, ranging from 25.1% (n=50) to 81% (n=162) for the specific ASCO /ESMO/ GLIM guidelines’ recommendations. Whereas compliance with the guidelines on discussing goals of care, prognosis, treatment options and end of life cares scored the highest in most variables, most HCPs exhibited low compliance with the discussion about patients’ end-of-life preferences early in the course of incurable illness (49.8 %, n=99). There were statistically significant differences between the mean scores of only two variables among the three hospitals in compliance with ASCO /ESMO / GLIM guidelines on provision of additional calories by feeding tubes (P= 0.038), and the available evidence to recommend medication to improve cancer cachexia outcomes (P= 0.0286). Whereas on discussing goals of care, prognosis, treatment options, and end of life care there was a statistically significant difference between the mean scores of only one variable; clinician’s simplicity of providing information to patients (P = 0.0132) among the HCPs in the three hospital settings.</w:t>
      </w:r>
    </w:p>
    <w:p w14:paraId="53EB7267" w14:textId="77777777" w:rsidR="003836B8" w:rsidRPr="003836B8" w:rsidRDefault="003836B8" w:rsidP="003836B8">
      <w:pPr>
        <w:pStyle w:val="BodyText"/>
        <w:ind w:left="100" w:right="214"/>
        <w:jc w:val="both"/>
        <w:rPr>
          <w:rFonts w:ascii="Arial" w:hAnsi="Arial" w:cs="Arial"/>
          <w:sz w:val="22"/>
          <w:szCs w:val="22"/>
        </w:rPr>
      </w:pPr>
    </w:p>
    <w:p w14:paraId="6D08B356" w14:textId="507CB69C" w:rsidR="003836B8" w:rsidRPr="003836B8" w:rsidRDefault="003836B8" w:rsidP="003836B8">
      <w:pPr>
        <w:ind w:left="100" w:right="214"/>
        <w:jc w:val="both"/>
        <w:rPr>
          <w:rFonts w:ascii="Arial" w:hAnsi="Arial" w:cs="Arial"/>
          <w:b/>
          <w:bCs/>
          <w:iCs/>
        </w:rPr>
      </w:pPr>
      <w:r w:rsidRPr="003836B8">
        <w:rPr>
          <w:rFonts w:ascii="Arial" w:hAnsi="Arial" w:cs="Arial"/>
          <w:b/>
          <w:bCs/>
          <w:iCs/>
        </w:rPr>
        <w:t>Conclusions</w:t>
      </w:r>
      <w:r>
        <w:rPr>
          <w:rFonts w:ascii="Arial" w:hAnsi="Arial" w:cs="Arial"/>
          <w:b/>
          <w:bCs/>
          <w:iCs/>
        </w:rPr>
        <w:t xml:space="preserve">: </w:t>
      </w:r>
      <w:bookmarkStart w:id="1" w:name="_GoBack"/>
      <w:bookmarkEnd w:id="1"/>
      <w:r w:rsidRPr="003836B8">
        <w:rPr>
          <w:rFonts w:ascii="Arial" w:hAnsi="Arial" w:cs="Arial"/>
          <w:iCs/>
        </w:rPr>
        <w:t>This study indicated that the overall objectively correct knowledge of cancer cachexia diagnosis criteria was inadequate, with a much lower level of awareness about the ASCO /ESMO/ GLIM guidelines on CC and handful of the HCPs have ever assessed quality of life of CC patients. Quality improvement interventions on cancer cachexia diagnosis and management should prioritize improving the level of knowledge on cancer cachexia, diagnostic criteria, patient-clinician communication, including</w:t>
      </w:r>
      <w:r w:rsidRPr="003836B8">
        <w:rPr>
          <w:rFonts w:ascii="Arial" w:hAnsi="Arial" w:cs="Arial"/>
        </w:rPr>
        <w:t xml:space="preserve"> </w:t>
      </w:r>
      <w:r w:rsidRPr="003836B8">
        <w:rPr>
          <w:rFonts w:ascii="Arial" w:hAnsi="Arial" w:cs="Arial"/>
          <w:iCs/>
        </w:rPr>
        <w:t>discussion about patients’ end-of-life care using</w:t>
      </w:r>
      <w:r w:rsidRPr="003836B8">
        <w:rPr>
          <w:rFonts w:ascii="Arial" w:hAnsi="Arial" w:cs="Arial"/>
        </w:rPr>
        <w:t xml:space="preserve"> </w:t>
      </w:r>
      <w:r w:rsidRPr="003836B8">
        <w:rPr>
          <w:rFonts w:ascii="Arial" w:hAnsi="Arial" w:cs="Arial"/>
          <w:iCs/>
        </w:rPr>
        <w:t>standardized tools such as ASCO /ESMO or GLIM guidelines on CC using a multidisciplinary team approach.</w:t>
      </w:r>
    </w:p>
    <w:p w14:paraId="37C5895E" w14:textId="01D4CDD3" w:rsidR="004600F3" w:rsidRPr="003836B8" w:rsidRDefault="003836B8" w:rsidP="003836B8">
      <w:pPr>
        <w:jc w:val="both"/>
        <w:rPr>
          <w:rFonts w:ascii="Arial" w:hAnsi="Arial" w:cs="Arial"/>
        </w:rPr>
      </w:pPr>
      <w:r w:rsidRPr="003836B8">
        <w:rPr>
          <w:rFonts w:ascii="Arial" w:hAnsi="Arial" w:cs="Arial"/>
        </w:rPr>
        <w:t>Key words: Cancer cachexia, Cancer cachexia diagnosis, Cancer cachexia management.</w:t>
      </w:r>
    </w:p>
    <w:p w14:paraId="72B4E11D" w14:textId="5B0C0105" w:rsidR="002F3066" w:rsidRPr="003836B8" w:rsidRDefault="002F3066" w:rsidP="002F3066">
      <w:pPr>
        <w:jc w:val="both"/>
        <w:rPr>
          <w:rFonts w:ascii="Arial" w:hAnsi="Arial" w:cs="Arial"/>
          <w:b/>
          <w:bCs/>
        </w:rPr>
      </w:pPr>
      <w:r w:rsidRPr="003836B8">
        <w:rPr>
          <w:rFonts w:ascii="Arial" w:hAnsi="Arial" w:cs="Arial"/>
          <w:b/>
          <w:bCs/>
        </w:rPr>
        <w:t xml:space="preserve">Biography </w:t>
      </w:r>
    </w:p>
    <w:p w14:paraId="5BA27CAD" w14:textId="5DD90D2E" w:rsidR="00A00DA3" w:rsidRPr="003836B8" w:rsidRDefault="00A00DA3" w:rsidP="00A00DA3">
      <w:pPr>
        <w:jc w:val="both"/>
        <w:rPr>
          <w:rFonts w:ascii="Arial" w:hAnsi="Arial" w:cs="Arial"/>
        </w:rPr>
      </w:pPr>
      <w:r w:rsidRPr="003836B8">
        <w:rPr>
          <w:rFonts w:ascii="Arial" w:hAnsi="Arial" w:cs="Arial"/>
        </w:rPr>
        <w:t xml:space="preserve">Innocent </w:t>
      </w:r>
      <w:proofErr w:type="spellStart"/>
      <w:r w:rsidRPr="003836B8">
        <w:rPr>
          <w:rFonts w:ascii="Arial" w:hAnsi="Arial" w:cs="Arial"/>
        </w:rPr>
        <w:t>Atuhe</w:t>
      </w:r>
      <w:proofErr w:type="spellEnd"/>
      <w:r w:rsidRPr="003836B8">
        <w:rPr>
          <w:rFonts w:ascii="Arial" w:hAnsi="Arial" w:cs="Arial"/>
        </w:rPr>
        <w:t xml:space="preserve"> </w:t>
      </w:r>
      <w:r w:rsidRPr="003836B8">
        <w:rPr>
          <w:rFonts w:ascii="Arial" w:hAnsi="Arial" w:cs="Arial"/>
        </w:rPr>
        <w:t xml:space="preserve">is a Senior Clinician, National QI mentor and International QI consultant. Mr. </w:t>
      </w:r>
      <w:proofErr w:type="spellStart"/>
      <w:r w:rsidRPr="003836B8">
        <w:rPr>
          <w:rFonts w:ascii="Arial" w:hAnsi="Arial" w:cs="Arial"/>
        </w:rPr>
        <w:t>Atuhe</w:t>
      </w:r>
      <w:proofErr w:type="spellEnd"/>
      <w:r w:rsidRPr="003836B8">
        <w:rPr>
          <w:rFonts w:ascii="Arial" w:hAnsi="Arial" w:cs="Arial"/>
        </w:rPr>
        <w:t xml:space="preserve"> is an accomplished Health Services Manager and an International Consultant in Health Care Quality Improvement with interest in health care new design, leadership for change and patient centered care.</w:t>
      </w:r>
      <w:r w:rsidRPr="003836B8">
        <w:rPr>
          <w:rFonts w:ascii="Arial" w:hAnsi="Arial" w:cs="Arial"/>
        </w:rPr>
        <w:t xml:space="preserve"> He </w:t>
      </w:r>
      <w:r w:rsidRPr="003836B8">
        <w:rPr>
          <w:rFonts w:ascii="Arial" w:hAnsi="Arial" w:cs="Arial"/>
        </w:rPr>
        <w:t>work</w:t>
      </w:r>
      <w:r w:rsidRPr="003836B8">
        <w:rPr>
          <w:rFonts w:ascii="Arial" w:hAnsi="Arial" w:cs="Arial"/>
        </w:rPr>
        <w:t>s</w:t>
      </w:r>
      <w:r w:rsidRPr="003836B8">
        <w:rPr>
          <w:rFonts w:ascii="Arial" w:hAnsi="Arial" w:cs="Arial"/>
        </w:rPr>
        <w:t xml:space="preserve"> collaboratively with the Ministry of Health Uganda</w:t>
      </w:r>
      <w:r w:rsidRPr="003836B8">
        <w:rPr>
          <w:rFonts w:ascii="Arial" w:hAnsi="Arial" w:cs="Arial"/>
        </w:rPr>
        <w:t xml:space="preserve"> and USAID</w:t>
      </w:r>
      <w:r w:rsidRPr="003836B8">
        <w:rPr>
          <w:rFonts w:ascii="Arial" w:hAnsi="Arial" w:cs="Arial"/>
        </w:rPr>
        <w:t xml:space="preserve"> in capacity building for healthcare quality improvement through institutional support, technical assistance and mentorship in private and public health facilities. </w:t>
      </w:r>
    </w:p>
    <w:p w14:paraId="6CEA563D" w14:textId="784073AC" w:rsidR="0069751F" w:rsidRPr="003836B8" w:rsidRDefault="0069751F" w:rsidP="0069751F">
      <w:pPr>
        <w:rPr>
          <w:rFonts w:ascii="Arial" w:hAnsi="Arial" w:cs="Arial"/>
        </w:rPr>
      </w:pPr>
    </w:p>
    <w:sectPr w:rsidR="0069751F" w:rsidRPr="0038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196380"/>
    <w:rsid w:val="002F3066"/>
    <w:rsid w:val="003836B8"/>
    <w:rsid w:val="004600F3"/>
    <w:rsid w:val="005C4B14"/>
    <w:rsid w:val="0069751F"/>
    <w:rsid w:val="00770E25"/>
    <w:rsid w:val="0093336F"/>
    <w:rsid w:val="00A00DA3"/>
    <w:rsid w:val="00A22F4A"/>
    <w:rsid w:val="00B03C8F"/>
    <w:rsid w:val="00C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11CC"/>
    <w:pPr>
      <w:widowControl w:val="0"/>
      <w:autoSpaceDE w:val="0"/>
      <w:autoSpaceDN w:val="0"/>
      <w:spacing w:after="0" w:line="240" w:lineRule="auto"/>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Heading1Char">
    <w:name w:val="Heading 1 Char"/>
    <w:basedOn w:val="DefaultParagraphFont"/>
    <w:link w:val="Heading1"/>
    <w:uiPriority w:val="9"/>
    <w:rsid w:val="00CC11CC"/>
    <w:rPr>
      <w:rFonts w:ascii="Arial" w:eastAsia="Arial" w:hAnsi="Arial" w:cs="Arial"/>
      <w:b/>
      <w:bCs/>
      <w:sz w:val="24"/>
      <w:szCs w:val="24"/>
    </w:rPr>
  </w:style>
  <w:style w:type="character" w:styleId="Hyperlink">
    <w:name w:val="Hyperlink"/>
    <w:basedOn w:val="DefaultParagraphFont"/>
    <w:uiPriority w:val="99"/>
    <w:unhideWhenUsed/>
    <w:rsid w:val="00CC11CC"/>
    <w:rPr>
      <w:color w:val="0563C1" w:themeColor="hyperlink"/>
      <w:u w:val="single"/>
    </w:rPr>
  </w:style>
  <w:style w:type="paragraph" w:styleId="BodyText">
    <w:name w:val="Body Text"/>
    <w:basedOn w:val="Normal"/>
    <w:link w:val="BodyTextChar"/>
    <w:uiPriority w:val="1"/>
    <w:qFormat/>
    <w:rsid w:val="003836B8"/>
    <w:pPr>
      <w:widowControl w:val="0"/>
      <w:autoSpaceDE w:val="0"/>
      <w:autoSpaceDN w:val="0"/>
      <w:spacing w:after="0" w:line="240" w:lineRule="auto"/>
    </w:pPr>
    <w:rPr>
      <w:rFonts w:ascii="Arial MT" w:eastAsia="Arial MT" w:hAnsi="Arial MT" w:cs="Arial MT"/>
      <w:sz w:val="24"/>
      <w:szCs w:val="24"/>
    </w:rPr>
  </w:style>
  <w:style w:type="character" w:customStyle="1" w:styleId="BodyTextChar">
    <w:name w:val="Body Text Char"/>
    <w:basedOn w:val="DefaultParagraphFont"/>
    <w:link w:val="BodyText"/>
    <w:uiPriority w:val="1"/>
    <w:rsid w:val="003836B8"/>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ocent50419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INNOCENT</cp:lastModifiedBy>
  <cp:revision>3</cp:revision>
  <dcterms:created xsi:type="dcterms:W3CDTF">2024-03-20T20:15:00Z</dcterms:created>
  <dcterms:modified xsi:type="dcterms:W3CDTF">2024-03-20T20:18:00Z</dcterms:modified>
</cp:coreProperties>
</file>