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MyriadPro-Regular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  <w:bookmarkStart w:id="0" w:name="OLE_LINK6"/>
      <w:bookmarkStart w:id="1" w:name="OLE_LINK2"/>
      <w:r>
        <w:rPr>
          <w:rFonts w:hint="default" w:ascii="Times New Roman" w:hAnsi="Times New Roman" w:eastAsia="MyriadPro-Regular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High </w:t>
      </w:r>
      <w:r>
        <w:rPr>
          <w:rFonts w:hint="default" w:ascii="Times New Roman" w:hAnsi="Times New Roman" w:eastAsia="MyriadPro-Regular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E</w:t>
      </w:r>
      <w:r>
        <w:rPr>
          <w:rFonts w:hint="default" w:ascii="Times New Roman" w:hAnsi="Times New Roman" w:eastAsia="MyriadPro-Regular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xpression </w:t>
      </w:r>
      <w:r>
        <w:rPr>
          <w:rFonts w:hint="default" w:ascii="Times New Roman" w:hAnsi="Times New Roman" w:eastAsia="MyriadPro-Regular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o</w:t>
      </w:r>
      <w:r>
        <w:rPr>
          <w:rFonts w:hint="default" w:ascii="Times New Roman" w:hAnsi="Times New Roman" w:eastAsia="MyriadPro-Regular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f </w:t>
      </w:r>
      <w:r>
        <w:rPr>
          <w:rFonts w:hint="default" w:ascii="Times New Roman" w:hAnsi="Times New Roman" w:eastAsia="MyriadPro-Regular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NF</w:t>
      </w:r>
      <w:r>
        <w:rPr>
          <w:rFonts w:hint="default" w:ascii="Times New Roman" w:hAnsi="Times New Roman" w:eastAsia="MyriadPro-Regular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1 in </w:t>
      </w:r>
      <w:r>
        <w:rPr>
          <w:rFonts w:hint="default" w:ascii="Times New Roman" w:hAnsi="Times New Roman" w:eastAsia="MyriadPro-Regular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H</w:t>
      </w:r>
      <w:r>
        <w:rPr>
          <w:rFonts w:hint="default" w:ascii="Times New Roman" w:hAnsi="Times New Roman" w:eastAsia="MyriadPro-Regular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uman </w:t>
      </w:r>
      <w:r>
        <w:rPr>
          <w:rFonts w:hint="default" w:ascii="Times New Roman" w:hAnsi="Times New Roman" w:eastAsia="MyriadPro-Regular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E</w:t>
      </w:r>
      <w:r>
        <w:rPr>
          <w:rFonts w:hint="default" w:ascii="Times New Roman" w:hAnsi="Times New Roman" w:eastAsia="MyriadPro-Regular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sophageal </w:t>
      </w:r>
      <w:r>
        <w:rPr>
          <w:rFonts w:hint="default" w:ascii="Times New Roman" w:hAnsi="Times New Roman" w:eastAsia="MyriadPro-Regular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S</w:t>
      </w:r>
      <w:r>
        <w:rPr>
          <w:rFonts w:hint="default" w:ascii="Times New Roman" w:hAnsi="Times New Roman" w:eastAsia="MyriadPro-Regular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quamous </w:t>
      </w:r>
      <w:r>
        <w:rPr>
          <w:rFonts w:hint="default" w:ascii="Times New Roman" w:hAnsi="Times New Roman" w:eastAsia="MyriadPro-Regular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C</w:t>
      </w:r>
      <w:r>
        <w:rPr>
          <w:rFonts w:hint="default" w:ascii="Times New Roman" w:hAnsi="Times New Roman" w:eastAsia="MyriadPro-Regular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ell </w:t>
      </w:r>
      <w:r>
        <w:rPr>
          <w:rFonts w:hint="default" w:ascii="Times New Roman" w:hAnsi="Times New Roman" w:eastAsia="MyriadPro-Regular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C</w:t>
      </w:r>
      <w:r>
        <w:rPr>
          <w:rFonts w:hint="default" w:ascii="Times New Roman" w:hAnsi="Times New Roman" w:eastAsia="MyriadPro-Regular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arcinoma </w:t>
      </w:r>
      <w:r>
        <w:rPr>
          <w:rFonts w:hint="default" w:ascii="Times New Roman" w:hAnsi="Times New Roman" w:eastAsia="MyriadPro-Regular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C</w:t>
      </w:r>
      <w:r>
        <w:rPr>
          <w:rFonts w:hint="default" w:ascii="Times New Roman" w:hAnsi="Times New Roman" w:eastAsia="MyriadPro-Regular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orrelates with </w:t>
      </w:r>
      <w:r>
        <w:rPr>
          <w:rFonts w:hint="default" w:ascii="Times New Roman" w:hAnsi="Times New Roman" w:eastAsia="MyriadPro-Regular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T</w:t>
      </w:r>
      <w:r>
        <w:rPr>
          <w:rFonts w:hint="default" w:ascii="Times New Roman" w:hAnsi="Times New Roman" w:eastAsia="MyriadPro-Regular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umor </w:t>
      </w:r>
      <w:r>
        <w:rPr>
          <w:rFonts w:hint="default" w:ascii="Times New Roman" w:hAnsi="Times New Roman" w:eastAsia="MyriadPro-Regular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M</w:t>
      </w:r>
      <w:r>
        <w:rPr>
          <w:rFonts w:hint="default" w:ascii="Times New Roman" w:hAnsi="Times New Roman" w:eastAsia="MyriadPro-Regular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etastasis and </w:t>
      </w:r>
      <w:r>
        <w:rPr>
          <w:rFonts w:hint="default" w:ascii="Times New Roman" w:hAnsi="Times New Roman" w:eastAsia="MyriadPro-Regular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P</w:t>
      </w:r>
      <w:r>
        <w:rPr>
          <w:rFonts w:hint="default" w:ascii="Times New Roman" w:hAnsi="Times New Roman" w:eastAsia="MyriadPro-Regular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oor </w:t>
      </w:r>
      <w:r>
        <w:rPr>
          <w:rFonts w:hint="default" w:ascii="Times New Roman" w:hAnsi="Times New Roman" w:eastAsia="MyriadPro-Regular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P</w:t>
      </w:r>
      <w:r>
        <w:rPr>
          <w:rFonts w:hint="default" w:ascii="Times New Roman" w:hAnsi="Times New Roman" w:eastAsia="MyriadPro-Regular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rognosis</w:t>
      </w:r>
    </w:p>
    <w:bookmarkEnd w:id="0"/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MyriadPro-Regular" w:cs="Times New Roman"/>
          <w:color w:val="000000"/>
          <w:kern w:val="0"/>
          <w:sz w:val="24"/>
          <w:szCs w:val="24"/>
          <w:u w:val="single"/>
          <w:lang w:val="en-US" w:eastAsia="zh-CN" w:bidi="ar"/>
        </w:rPr>
      </w:pPr>
      <w:r>
        <w:rPr>
          <w:rFonts w:hint="default" w:ascii="Times New Roman" w:hAnsi="Times New Roman" w:eastAsia="MyriadPro-Regular" w:cs="Times New Roman"/>
          <w:color w:val="000000"/>
          <w:kern w:val="0"/>
          <w:sz w:val="24"/>
          <w:szCs w:val="24"/>
          <w:u w:val="single"/>
          <w:lang w:val="en-US" w:eastAsia="zh-CN" w:bidi="ar"/>
        </w:rPr>
        <w:t>Guo</w:t>
      </w:r>
      <w:r>
        <w:rPr>
          <w:rFonts w:hint="default" w:ascii="Times New Roman" w:hAnsi="Times New Roman" w:eastAsia="MyriadPro-Regular" w:cs="Times New Roman"/>
          <w:color w:val="000000"/>
          <w:kern w:val="0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default" w:ascii="Times New Roman" w:hAnsi="Times New Roman" w:eastAsia="MyriadPro-Regular" w:cs="Times New Roman"/>
          <w:color w:val="000000"/>
          <w:kern w:val="0"/>
          <w:sz w:val="24"/>
          <w:szCs w:val="24"/>
          <w:u w:val="single"/>
          <w:lang w:val="en-US" w:eastAsia="zh-CN" w:bidi="ar"/>
        </w:rPr>
        <w:t>Dongming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</w:pPr>
      <w:bookmarkStart w:id="2" w:name="OLE_LINK4"/>
      <w:bookmarkStart w:id="3" w:name="OLE_LINK13"/>
      <w:bookmarkStart w:id="4" w:name="OLE_LINK9"/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Department of Thoracic Cancer Center</w:t>
      </w:r>
      <w:bookmarkEnd w:id="2"/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bookmarkStart w:id="5" w:name="OLE_LINK12"/>
      <w:bookmarkStart w:id="6" w:name="OLE_LINK3"/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Chongqing University Cancer Hospital</w:t>
      </w:r>
      <w:bookmarkEnd w:id="5"/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,</w:t>
      </w:r>
      <w:bookmarkEnd w:id="3"/>
      <w:bookmarkEnd w:id="6"/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Chongqing 400030, China</w:t>
      </w:r>
      <w:bookmarkStart w:id="14" w:name="_GoBack"/>
      <w:bookmarkEnd w:id="14"/>
    </w:p>
    <w:bookmarkEnd w:id="4"/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MyriadPro-Regular" w:cs="Times New Roman"/>
          <w:color w:val="000000"/>
          <w:kern w:val="0"/>
          <w:sz w:val="24"/>
          <w:szCs w:val="24"/>
          <w:u w:val="single"/>
          <w:lang w:val="en-US" w:eastAsia="zh-CN" w:bidi="ar"/>
        </w:rPr>
      </w:pPr>
    </w:p>
    <w:bookmarkEnd w:id="1"/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MyriadPro-Bold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Abstract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7" w:name="OLE_LINK10"/>
      <w:bookmarkStart w:id="8" w:name="OLE_LINK14"/>
      <w:r>
        <w:rPr>
          <w:rFonts w:hint="default" w:ascii="Times New Roman" w:hAnsi="Times New Roman" w:eastAsia="MyriadPro-Semibold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Background 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Neurofibromin 1 (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NF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1) is related to the occurrence and progression of neurofibromatosis type 1, juvenile myelomonocytic leukemia and Watson syndrome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However, its role in 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sophageal squamous cell carcinoma (ESCC) is unclear. This current study investigated the prognostic signif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cance and biological functions of 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NF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1 in ESCC.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MyriadPro-Semibold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Methods 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Gene Expression Prof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ling Interactive Analysis (GEPIA), and 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ene Expression Omnibus (GEO) were used to investigate </w:t>
      </w:r>
      <w:bookmarkStart w:id="9" w:name="OLE_LINK1"/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NF1</w:t>
      </w:r>
      <w:bookmarkEnd w:id="9"/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 expression in esophageal cancer. The relationship between 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NF1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 expression and clinicopathological characteristics and patient survival was evaluated in GSE53625 dataset and tissue microarray (TMA) dataset based on immunohistochemistry. The impact of 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NF1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 on the migration and invasion of cancer cells were investigated by wound-healing and transwell assays, respectively.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MyriadPro-Semibold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Results 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The expression of 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NF1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 was obviously increased in ESCC tissues versus adjacent esophageal tissues according to online database analyses (</w:t>
      </w:r>
      <w:r>
        <w:rPr>
          <w:rFonts w:hint="default" w:ascii="Times New Roman" w:hAnsi="Times New Roman" w:eastAsia="MyriadPro-LightIt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&lt;0.05). High 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NF1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 expression was closely related to several clinicopathological characteristics, including lymph node 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etastasis, and tumor-node-metastasis (TNM) stage. High 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NF1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 expression was related to worse outcomes and was identifed as an independent prognostic factor of overall survival in ESCC patients (GSE53625 dataset, </w:t>
      </w:r>
      <w:r>
        <w:rPr>
          <w:rFonts w:hint="default" w:ascii="Times New Roman" w:hAnsi="Times New Roman" w:eastAsia="MyriadPro-LightIt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Times New Roman" w:hAnsi="Times New Roman" w:eastAsia="STIX-Regular" w:cs="Times New Roman"/>
          <w:color w:val="000000"/>
          <w:kern w:val="0"/>
          <w:sz w:val="24"/>
          <w:szCs w:val="24"/>
          <w:lang w:val="en-US" w:eastAsia="zh-CN" w:bidi="ar"/>
        </w:rPr>
        <w:t>=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0.0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46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; TMA dataset, </w:t>
      </w:r>
      <w:r>
        <w:rPr>
          <w:rFonts w:hint="default" w:ascii="Times New Roman" w:hAnsi="Times New Roman" w:eastAsia="MyriadPro-LightIt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Times New Roman" w:hAnsi="Times New Roman" w:eastAsia="STIX-Regular" w:cs="Times New Roman"/>
          <w:color w:val="000000"/>
          <w:kern w:val="0"/>
          <w:sz w:val="24"/>
          <w:szCs w:val="24"/>
          <w:lang w:val="en-US" w:eastAsia="zh-CN" w:bidi="ar"/>
        </w:rPr>
        <w:t>=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0.0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01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). Downregulation of 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NF1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 expression can 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ignifcantly reduce the migration and invasion ability of ESCC cells.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MyriadPro-Semibold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Conclusion </w:t>
      </w:r>
      <w:bookmarkStart w:id="10" w:name="OLE_LINK7"/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NF1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 is related to the migration and invasion of ESCC cells, and can be used as a potential biomarker to evaluate the prognosis of ESCC patients.</w:t>
      </w:r>
      <w:bookmarkEnd w:id="10"/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MyriadPro-Semibold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Keywords </w:t>
      </w:r>
      <w:bookmarkStart w:id="11" w:name="OLE_LINK5"/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Esophageal squamous cell carcinoma, </w:t>
      </w:r>
      <w:bookmarkStart w:id="12" w:name="OLE_LINK8"/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NF1</w:t>
      </w:r>
      <w:bookmarkEnd w:id="12"/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bookmarkStart w:id="13" w:name="OLE_LINK11"/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Prognosis</w:t>
      </w:r>
      <w:bookmarkEnd w:id="7"/>
      <w:bookmarkEnd w:id="8"/>
      <w:bookmarkEnd w:id="11"/>
      <w:bookmarkEnd w:id="1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yriadPr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yriadPro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yriadPro-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yriadPro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yriadPro-LightI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IX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177672E8"/>
    <w:rsid w:val="1B7E5C3B"/>
    <w:rsid w:val="1F6B5813"/>
    <w:rsid w:val="24807F20"/>
    <w:rsid w:val="25703F08"/>
    <w:rsid w:val="3A64775E"/>
    <w:rsid w:val="48D67941"/>
    <w:rsid w:val="61F8091A"/>
    <w:rsid w:val="6302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2024-03-13T07:28:00Z</dcterms:created>
  <dc:creator>CHL-GDM</dc:creator>
  <cp:lastModifiedBy>CHL-GDM</cp:lastModifiedBy>
  <dcterms:modified xsi:type="dcterms:W3CDTF">2024-03-14T08:02:26Z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1CF9D78572794F6EA023DFF8512883A7_13</vt:lpwstr>
  </property>
</Properties>
</file>