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7C2B" w14:textId="77777777" w:rsidR="004B3A4E" w:rsidRPr="00343C8E" w:rsidRDefault="0068462B" w:rsidP="004B3A4E">
      <w:pPr>
        <w:rPr>
          <w:rFonts w:ascii="Times New Roman" w:hAnsi="Times New Roman" w:cs="Times New Roman"/>
          <w:b/>
          <w:bCs/>
          <w:sz w:val="28"/>
          <w:szCs w:val="28"/>
        </w:rPr>
      </w:pPr>
      <w:r w:rsidRPr="00343C8E">
        <w:rPr>
          <w:rFonts w:ascii="Times New Roman" w:hAnsi="Times New Roman" w:cs="Times New Roman"/>
          <w:b/>
          <w:bCs/>
          <w:sz w:val="28"/>
          <w:szCs w:val="28"/>
        </w:rPr>
        <w:t xml:space="preserve">Systemic Treatment for Brain Metastatic Triple Negative Breast Cancer: </w:t>
      </w:r>
    </w:p>
    <w:p w14:paraId="5B483457" w14:textId="3A2BFB5A" w:rsidR="0068462B" w:rsidRPr="00343C8E" w:rsidRDefault="0068462B" w:rsidP="004B3A4E">
      <w:pPr>
        <w:rPr>
          <w:rFonts w:ascii="Times New Roman" w:hAnsi="Times New Roman" w:cs="Times New Roman"/>
          <w:b/>
          <w:bCs/>
          <w:sz w:val="28"/>
          <w:szCs w:val="28"/>
        </w:rPr>
      </w:pPr>
      <w:r w:rsidRPr="00343C8E">
        <w:rPr>
          <w:rFonts w:ascii="Times New Roman" w:hAnsi="Times New Roman" w:cs="Times New Roman"/>
          <w:b/>
          <w:bCs/>
          <w:sz w:val="28"/>
          <w:szCs w:val="28"/>
        </w:rPr>
        <w:t xml:space="preserve">A Systematic Review and Meta-Analysis </w:t>
      </w:r>
    </w:p>
    <w:p w14:paraId="542ED61B" w14:textId="77777777" w:rsidR="004B3A4E" w:rsidRPr="004B3A4E" w:rsidRDefault="004B3A4E" w:rsidP="004B3A4E">
      <w:pPr>
        <w:rPr>
          <w:rFonts w:ascii="Times New Roman" w:hAnsi="Times New Roman" w:cs="Times New Roman"/>
          <w:b/>
          <w:bCs/>
        </w:rPr>
      </w:pPr>
    </w:p>
    <w:p w14:paraId="7299B9DD" w14:textId="5C1A5263" w:rsidR="0068462B" w:rsidRPr="0089222B" w:rsidRDefault="0068462B" w:rsidP="004B3A4E">
      <w:pPr>
        <w:rPr>
          <w:rFonts w:ascii="Times New Roman" w:hAnsi="Times New Roman" w:cs="Times New Roman"/>
          <w:i/>
          <w:iCs/>
          <w:sz w:val="20"/>
          <w:szCs w:val="20"/>
          <w:vertAlign w:val="superscript"/>
        </w:rPr>
      </w:pPr>
      <w:r w:rsidRPr="0089222B">
        <w:rPr>
          <w:rFonts w:ascii="Times New Roman" w:hAnsi="Times New Roman" w:cs="Times New Roman"/>
          <w:i/>
          <w:iCs/>
          <w:sz w:val="20"/>
          <w:szCs w:val="20"/>
        </w:rPr>
        <w:t>Linh Vu</w:t>
      </w:r>
      <w:r w:rsidRPr="0089222B">
        <w:rPr>
          <w:rFonts w:ascii="Times New Roman" w:hAnsi="Times New Roman" w:cs="Times New Roman"/>
          <w:i/>
          <w:iCs/>
          <w:sz w:val="20"/>
          <w:szCs w:val="20"/>
          <w:vertAlign w:val="superscript"/>
        </w:rPr>
        <w:t>1</w:t>
      </w:r>
      <w:r w:rsidRPr="0089222B">
        <w:rPr>
          <w:rFonts w:ascii="Times New Roman" w:hAnsi="Times New Roman" w:cs="Times New Roman"/>
          <w:i/>
          <w:iCs/>
          <w:sz w:val="20"/>
          <w:szCs w:val="20"/>
        </w:rPr>
        <w:t>, Gordon R. Daly</w:t>
      </w:r>
      <w:r w:rsidRPr="0089222B">
        <w:rPr>
          <w:rFonts w:ascii="Times New Roman" w:hAnsi="Times New Roman" w:cs="Times New Roman"/>
          <w:i/>
          <w:iCs/>
          <w:sz w:val="20"/>
          <w:szCs w:val="20"/>
          <w:vertAlign w:val="superscript"/>
        </w:rPr>
        <w:t>1,2</w:t>
      </w:r>
      <w:r w:rsidRPr="0089222B">
        <w:rPr>
          <w:rFonts w:ascii="Times New Roman" w:hAnsi="Times New Roman" w:cs="Times New Roman"/>
          <w:i/>
          <w:iCs/>
          <w:sz w:val="20"/>
          <w:szCs w:val="20"/>
        </w:rPr>
        <w:t>, Gavin P. Dowling</w:t>
      </w:r>
      <w:r w:rsidRPr="0089222B">
        <w:rPr>
          <w:rFonts w:ascii="Times New Roman" w:hAnsi="Times New Roman" w:cs="Times New Roman"/>
          <w:i/>
          <w:iCs/>
          <w:sz w:val="20"/>
          <w:szCs w:val="20"/>
          <w:vertAlign w:val="superscript"/>
        </w:rPr>
        <w:t>1,2</w:t>
      </w:r>
      <w:r w:rsidRPr="0089222B">
        <w:rPr>
          <w:rFonts w:ascii="Times New Roman" w:hAnsi="Times New Roman" w:cs="Times New Roman"/>
          <w:i/>
          <w:iCs/>
          <w:sz w:val="20"/>
          <w:szCs w:val="20"/>
        </w:rPr>
        <w:t>, Sherlissa Ali-Thompson</w:t>
      </w:r>
      <w:r w:rsidRPr="0089222B">
        <w:rPr>
          <w:rFonts w:ascii="Times New Roman" w:hAnsi="Times New Roman" w:cs="Times New Roman"/>
          <w:i/>
          <w:iCs/>
          <w:sz w:val="20"/>
          <w:szCs w:val="20"/>
          <w:vertAlign w:val="superscript"/>
        </w:rPr>
        <w:t>1</w:t>
      </w:r>
      <w:r w:rsidRPr="0089222B">
        <w:rPr>
          <w:rFonts w:ascii="Times New Roman" w:hAnsi="Times New Roman" w:cs="Times New Roman"/>
          <w:i/>
          <w:iCs/>
          <w:sz w:val="20"/>
          <w:szCs w:val="20"/>
        </w:rPr>
        <w:t>, Oluwapelumi Ogunlowo</w:t>
      </w:r>
      <w:r w:rsidRPr="0089222B">
        <w:rPr>
          <w:rFonts w:ascii="Times New Roman" w:hAnsi="Times New Roman" w:cs="Times New Roman"/>
          <w:i/>
          <w:iCs/>
          <w:sz w:val="20"/>
          <w:szCs w:val="20"/>
          <w:vertAlign w:val="superscript"/>
        </w:rPr>
        <w:t>1</w:t>
      </w:r>
      <w:r w:rsidRPr="0089222B">
        <w:rPr>
          <w:rFonts w:ascii="Times New Roman" w:hAnsi="Times New Roman" w:cs="Times New Roman"/>
          <w:i/>
          <w:iCs/>
          <w:sz w:val="20"/>
          <w:szCs w:val="20"/>
        </w:rPr>
        <w:t>, Jason McGrath</w:t>
      </w:r>
      <w:r w:rsidRPr="0089222B">
        <w:rPr>
          <w:rFonts w:ascii="Times New Roman" w:hAnsi="Times New Roman" w:cs="Times New Roman"/>
          <w:i/>
          <w:iCs/>
          <w:sz w:val="20"/>
          <w:szCs w:val="20"/>
          <w:vertAlign w:val="superscript"/>
        </w:rPr>
        <w:t>1</w:t>
      </w:r>
      <w:r w:rsidRPr="0089222B">
        <w:rPr>
          <w:rFonts w:ascii="Times New Roman" w:hAnsi="Times New Roman" w:cs="Times New Roman"/>
          <w:i/>
          <w:iCs/>
          <w:sz w:val="20"/>
          <w:szCs w:val="20"/>
        </w:rPr>
        <w:t>, Luke Cox</w:t>
      </w:r>
      <w:r w:rsidRPr="0089222B">
        <w:rPr>
          <w:rFonts w:ascii="Times New Roman" w:hAnsi="Times New Roman" w:cs="Times New Roman"/>
          <w:i/>
          <w:iCs/>
          <w:sz w:val="20"/>
          <w:szCs w:val="20"/>
          <w:vertAlign w:val="superscript"/>
        </w:rPr>
        <w:t>1</w:t>
      </w:r>
    </w:p>
    <w:p w14:paraId="52963906" w14:textId="77777777" w:rsidR="0068462B" w:rsidRPr="0089222B" w:rsidRDefault="0068462B" w:rsidP="004B3A4E">
      <w:pPr>
        <w:rPr>
          <w:rFonts w:ascii="Times New Roman" w:hAnsi="Times New Roman" w:cs="Times New Roman"/>
          <w:i/>
          <w:iCs/>
          <w:sz w:val="20"/>
          <w:szCs w:val="20"/>
        </w:rPr>
      </w:pPr>
      <w:r w:rsidRPr="0089222B">
        <w:rPr>
          <w:rFonts w:ascii="Times New Roman" w:hAnsi="Times New Roman" w:cs="Times New Roman"/>
          <w:i/>
          <w:iCs/>
          <w:sz w:val="20"/>
          <w:szCs w:val="20"/>
          <w:vertAlign w:val="superscript"/>
        </w:rPr>
        <w:t>1</w:t>
      </w:r>
      <w:r w:rsidRPr="0089222B">
        <w:rPr>
          <w:rFonts w:ascii="Times New Roman" w:hAnsi="Times New Roman" w:cs="Times New Roman"/>
          <w:i/>
          <w:iCs/>
          <w:sz w:val="20"/>
          <w:szCs w:val="20"/>
        </w:rPr>
        <w:t>Department of Surgery, RCSI, 123 St. Stephen’s Green, Dublin 2, Ireland 2</w:t>
      </w:r>
    </w:p>
    <w:p w14:paraId="7EAA9705" w14:textId="68168114" w:rsidR="0068462B" w:rsidRPr="0089222B" w:rsidRDefault="0068462B" w:rsidP="004B3A4E">
      <w:pPr>
        <w:rPr>
          <w:rFonts w:ascii="Times New Roman" w:hAnsi="Times New Roman" w:cs="Times New Roman"/>
          <w:i/>
          <w:iCs/>
          <w:sz w:val="20"/>
          <w:szCs w:val="20"/>
        </w:rPr>
      </w:pPr>
      <w:r w:rsidRPr="0089222B">
        <w:rPr>
          <w:rFonts w:ascii="Times New Roman" w:hAnsi="Times New Roman" w:cs="Times New Roman"/>
          <w:i/>
          <w:iCs/>
          <w:sz w:val="20"/>
          <w:szCs w:val="20"/>
          <w:vertAlign w:val="superscript"/>
        </w:rPr>
        <w:t>2</w:t>
      </w:r>
      <w:r w:rsidRPr="0089222B">
        <w:rPr>
          <w:rFonts w:ascii="Times New Roman" w:hAnsi="Times New Roman" w:cs="Times New Roman"/>
          <w:i/>
          <w:iCs/>
          <w:sz w:val="20"/>
          <w:szCs w:val="20"/>
        </w:rPr>
        <w:t>Department of Surgery, Beaumont Hospital, Dublin 9, Ireland</w:t>
      </w:r>
    </w:p>
    <w:p w14:paraId="5EF321A7" w14:textId="77777777" w:rsidR="0068462B" w:rsidRPr="004B3A4E" w:rsidRDefault="0068462B" w:rsidP="004B3A4E">
      <w:pPr>
        <w:rPr>
          <w:rFonts w:ascii="Times New Roman" w:hAnsi="Times New Roman" w:cs="Times New Roman"/>
          <w:b/>
          <w:bCs/>
        </w:rPr>
      </w:pPr>
    </w:p>
    <w:p w14:paraId="5B38F481" w14:textId="1E505204" w:rsidR="00412694" w:rsidRPr="004B3A4E" w:rsidRDefault="0068462B" w:rsidP="004B3A4E">
      <w:pPr>
        <w:ind w:firstLine="720"/>
        <w:rPr>
          <w:rFonts w:ascii="Times New Roman" w:hAnsi="Times New Roman" w:cs="Times New Roman"/>
        </w:rPr>
      </w:pPr>
      <w:r w:rsidRPr="004B3A4E">
        <w:rPr>
          <w:rFonts w:ascii="Times New Roman" w:hAnsi="Times New Roman" w:cs="Times New Roman"/>
          <w:b/>
          <w:bCs/>
        </w:rPr>
        <w:t>Aim:</w:t>
      </w:r>
      <w:r w:rsidRPr="004B3A4E">
        <w:rPr>
          <w:rFonts w:ascii="Times New Roman" w:hAnsi="Times New Roman" w:cs="Times New Roman"/>
        </w:rPr>
        <w:t xml:space="preserve"> Patients with advanced triple negative breast cancer (TNBC) develop brain metastases (BM) in nearly 50% of cases. Management of this patient population is varied, involving a combination of local therapy and/or systemic treatment. Drug development for brain metastatic TNBC (TNBCBM) remains primitive, with few having reached clinical trials and even fewer currently approved. This systematic review summarises and evaluates approved and emerging systemic therapies for patients with TNBCBM. </w:t>
      </w:r>
      <w:r w:rsidRPr="004B3A4E">
        <w:rPr>
          <w:rFonts w:ascii="Times New Roman" w:hAnsi="Times New Roman" w:cs="Times New Roman"/>
          <w:b/>
          <w:bCs/>
        </w:rPr>
        <w:t>Methods:</w:t>
      </w:r>
      <w:r w:rsidRPr="004B3A4E">
        <w:rPr>
          <w:rFonts w:ascii="Times New Roman" w:hAnsi="Times New Roman" w:cs="Times New Roman"/>
        </w:rPr>
        <w:t xml:space="preserve"> Systematic search was conducted using databases PubMed, Clarivate Analytics/Web of Science, Embase.com and the Wiley/Cochrane Library. Eligible articles included clinical trials, prospective, and retrospective studies reporting on median progression free survival (</w:t>
      </w:r>
      <w:proofErr w:type="spellStart"/>
      <w:r w:rsidRPr="004B3A4E">
        <w:rPr>
          <w:rFonts w:ascii="Times New Roman" w:hAnsi="Times New Roman" w:cs="Times New Roman"/>
        </w:rPr>
        <w:t>mPFS</w:t>
      </w:r>
      <w:proofErr w:type="spellEnd"/>
      <w:r w:rsidRPr="004B3A4E">
        <w:rPr>
          <w:rFonts w:ascii="Times New Roman" w:hAnsi="Times New Roman" w:cs="Times New Roman"/>
        </w:rPr>
        <w:t>), median overall survival (</w:t>
      </w:r>
      <w:proofErr w:type="spellStart"/>
      <w:r w:rsidRPr="004B3A4E">
        <w:rPr>
          <w:rFonts w:ascii="Times New Roman" w:hAnsi="Times New Roman" w:cs="Times New Roman"/>
        </w:rPr>
        <w:t>mOS</w:t>
      </w:r>
      <w:proofErr w:type="spellEnd"/>
      <w:r w:rsidRPr="004B3A4E">
        <w:rPr>
          <w:rFonts w:ascii="Times New Roman" w:hAnsi="Times New Roman" w:cs="Times New Roman"/>
        </w:rPr>
        <w:t xml:space="preserve">), and/or objective response rate (ORR) of different systemic therapies for TNBCBM. </w:t>
      </w:r>
      <w:r w:rsidRPr="004B3A4E">
        <w:rPr>
          <w:rFonts w:ascii="Times New Roman" w:hAnsi="Times New Roman" w:cs="Times New Roman"/>
          <w:b/>
          <w:bCs/>
        </w:rPr>
        <w:t>Results:</w:t>
      </w:r>
      <w:r w:rsidRPr="004B3A4E">
        <w:rPr>
          <w:rFonts w:ascii="Times New Roman" w:hAnsi="Times New Roman" w:cs="Times New Roman"/>
        </w:rPr>
        <w:t xml:space="preserve"> </w:t>
      </w:r>
      <w:r w:rsidR="004B3A4E" w:rsidRPr="004B3A4E">
        <w:rPr>
          <w:rFonts w:ascii="Times New Roman" w:hAnsi="Times New Roman" w:cs="Times New Roman"/>
        </w:rPr>
        <w:t>Thirteen</w:t>
      </w:r>
      <w:r w:rsidRPr="004B3A4E">
        <w:rPr>
          <w:rFonts w:ascii="Times New Roman" w:hAnsi="Times New Roman" w:cs="Times New Roman"/>
        </w:rPr>
        <w:t xml:space="preserve"> studies fulfilled inclusion criteria, reporting on chemotherapy, immunotherapy, antibody-drug conjugate, and tyrosine kinase inhibitors. Lu et al. assessing Bevacizumab administration prior to Etoposide and Cisplatin (BEEP regimen) reported the highest CNS-ORR of 100%. Chang et al. retrospective analysis of patients treated with a range of BBB-crossing and non-crossing chemotherapeutic agents yielded the highest </w:t>
      </w:r>
      <w:proofErr w:type="spellStart"/>
      <w:r w:rsidRPr="004B3A4E">
        <w:rPr>
          <w:rFonts w:ascii="Times New Roman" w:hAnsi="Times New Roman" w:cs="Times New Roman"/>
        </w:rPr>
        <w:t>mPFS</w:t>
      </w:r>
      <w:proofErr w:type="spellEnd"/>
      <w:r w:rsidRPr="004B3A4E">
        <w:rPr>
          <w:rFonts w:ascii="Times New Roman" w:hAnsi="Times New Roman" w:cs="Times New Roman"/>
        </w:rPr>
        <w:t xml:space="preserve"> of 32.8 months, while Du et al. demonstrated the highest </w:t>
      </w:r>
      <w:proofErr w:type="spellStart"/>
      <w:r w:rsidRPr="004B3A4E">
        <w:rPr>
          <w:rFonts w:ascii="Times New Roman" w:hAnsi="Times New Roman" w:cs="Times New Roman"/>
        </w:rPr>
        <w:t>mOS</w:t>
      </w:r>
      <w:proofErr w:type="spellEnd"/>
      <w:r w:rsidRPr="004B3A4E">
        <w:rPr>
          <w:rFonts w:ascii="Times New Roman" w:hAnsi="Times New Roman" w:cs="Times New Roman"/>
        </w:rPr>
        <w:t xml:space="preserve"> of 23.9 months for patients treated with immune-checkpoint inhibitors. </w:t>
      </w:r>
      <w:r w:rsidRPr="004B3A4E">
        <w:rPr>
          <w:rFonts w:ascii="Times New Roman" w:hAnsi="Times New Roman" w:cs="Times New Roman"/>
          <w:b/>
          <w:bCs/>
        </w:rPr>
        <w:t>Conclusion:</w:t>
      </w:r>
      <w:r w:rsidRPr="004B3A4E">
        <w:rPr>
          <w:rFonts w:ascii="Times New Roman" w:hAnsi="Times New Roman" w:cs="Times New Roman"/>
        </w:rPr>
        <w:t xml:space="preserve"> The comprehensive systematic review showed that when used in combination with local treatment modalities, systemic therapies provided marked benefit in controlling extra-cranial disease and preventing additional seeding to the brain. However, the small number of studies and heterogeneity of data emphasise the urgent need for further inclusion in clinical drug trials of this subgroup of patients.</w:t>
      </w:r>
    </w:p>
    <w:p w14:paraId="2D067255" w14:textId="42C85866" w:rsidR="00050ECB" w:rsidRPr="004B3A4E" w:rsidRDefault="00050ECB" w:rsidP="004B3A4E">
      <w:pPr>
        <w:rPr>
          <w:rFonts w:ascii="Times New Roman" w:hAnsi="Times New Roman" w:cs="Times New Roman"/>
        </w:rPr>
      </w:pPr>
    </w:p>
    <w:sectPr w:rsidR="00050ECB" w:rsidRPr="004B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80"/>
    <w:rsid w:val="00050ECB"/>
    <w:rsid w:val="00343C8E"/>
    <w:rsid w:val="003B7A12"/>
    <w:rsid w:val="00412694"/>
    <w:rsid w:val="004B3A4E"/>
    <w:rsid w:val="00585F2B"/>
    <w:rsid w:val="00654DF6"/>
    <w:rsid w:val="0068462B"/>
    <w:rsid w:val="00691480"/>
    <w:rsid w:val="008300E4"/>
    <w:rsid w:val="0085112F"/>
    <w:rsid w:val="008512B7"/>
    <w:rsid w:val="0089222B"/>
    <w:rsid w:val="00B232B1"/>
    <w:rsid w:val="00C57221"/>
    <w:rsid w:val="00DE6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21EC8E4"/>
  <w15:chartTrackingRefBased/>
  <w15:docId w15:val="{C0FFA6DF-FF82-3E4C-A01C-5D379F5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62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684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Vu</dc:creator>
  <cp:keywords/>
  <dc:description/>
  <cp:lastModifiedBy>Linh Vu</cp:lastModifiedBy>
  <cp:revision>6</cp:revision>
  <dcterms:created xsi:type="dcterms:W3CDTF">2024-02-12T22:06:00Z</dcterms:created>
  <dcterms:modified xsi:type="dcterms:W3CDTF">2024-02-12T22:11:00Z</dcterms:modified>
</cp:coreProperties>
</file>