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727C" w14:textId="1E41DFA2" w:rsidR="00ED726E" w:rsidRDefault="00ED726E" w:rsidP="00ED72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6E">
        <w:rPr>
          <w:rFonts w:ascii="Times New Roman" w:hAnsi="Times New Roman" w:cs="Times New Roman"/>
          <w:sz w:val="24"/>
          <w:szCs w:val="24"/>
        </w:rPr>
        <w:t xml:space="preserve">Assessment of intraoperative coagulation status in patients undergoing cytoreductive surgery and hyperthermic intraperitoneal chemotherapy using </w:t>
      </w:r>
      <w:proofErr w:type="spellStart"/>
      <w:r w:rsidRPr="00ED726E">
        <w:rPr>
          <w:rFonts w:ascii="Times New Roman" w:hAnsi="Times New Roman" w:cs="Times New Roman"/>
          <w:sz w:val="24"/>
          <w:szCs w:val="24"/>
        </w:rPr>
        <w:t>thromboelastography</w:t>
      </w:r>
      <w:proofErr w:type="spellEnd"/>
    </w:p>
    <w:p w14:paraId="297675D0" w14:textId="09ADB60C" w:rsidR="00ED726E" w:rsidRDefault="00ED726E" w:rsidP="00ED72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Hu, </w:t>
      </w:r>
      <w:r w:rsidR="00A00BD5">
        <w:rPr>
          <w:rFonts w:ascii="Times New Roman" w:hAnsi="Times New Roman" w:cs="Times New Roman"/>
          <w:sz w:val="24"/>
          <w:szCs w:val="24"/>
        </w:rPr>
        <w:t xml:space="preserve">Qing Zhang, </w:t>
      </w:r>
      <w:r>
        <w:rPr>
          <w:rFonts w:ascii="Times New Roman" w:hAnsi="Times New Roman" w:cs="Times New Roman"/>
          <w:sz w:val="24"/>
          <w:szCs w:val="24"/>
        </w:rPr>
        <w:t>Shaoheng Wang</w:t>
      </w:r>
    </w:p>
    <w:p w14:paraId="1DDB8F42" w14:textId="1DB67A70" w:rsidR="00A30704" w:rsidRDefault="00ED726E" w:rsidP="00ED726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726E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ED726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6E">
        <w:rPr>
          <w:rFonts w:ascii="Times New Roman" w:hAnsi="Times New Roman" w:cs="Times New Roman"/>
          <w:sz w:val="24"/>
          <w:szCs w:val="24"/>
        </w:rPr>
        <w:t xml:space="preserve">To investigate the value of </w:t>
      </w:r>
      <w:proofErr w:type="spellStart"/>
      <w:r w:rsidRPr="00ED726E">
        <w:rPr>
          <w:rFonts w:ascii="Times New Roman" w:hAnsi="Times New Roman" w:cs="Times New Roman"/>
          <w:sz w:val="24"/>
          <w:szCs w:val="24"/>
        </w:rPr>
        <w:t>thromboelastography</w:t>
      </w:r>
      <w:proofErr w:type="spellEnd"/>
      <w:r w:rsidRPr="00ED726E">
        <w:rPr>
          <w:rFonts w:ascii="Times New Roman" w:hAnsi="Times New Roman" w:cs="Times New Roman"/>
          <w:sz w:val="24"/>
          <w:szCs w:val="24"/>
        </w:rPr>
        <w:t xml:space="preserve"> in evaluating the coagulation function of patients undergoing cytoreductive surgery (CRS) and hyperthermic intraperitoneal chemotherapy (HIPEC).</w:t>
      </w:r>
      <w:r w:rsidR="00271D44" w:rsidRPr="00271D44">
        <w:t xml:space="preserve"> </w:t>
      </w:r>
      <w:r w:rsidR="00271D44" w:rsidRPr="00271D44">
        <w:rPr>
          <w:rFonts w:ascii="Times New Roman" w:hAnsi="Times New Roman" w:cs="Times New Roman"/>
          <w:sz w:val="24"/>
          <w:szCs w:val="24"/>
        </w:rPr>
        <w:t>hyperthermic intraperitoneal chemotherapy</w:t>
      </w:r>
    </w:p>
    <w:p w14:paraId="39C5A844" w14:textId="05DD3040" w:rsidR="00ED726E" w:rsidRDefault="00ED726E" w:rsidP="00ED726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726E">
        <w:rPr>
          <w:rFonts w:ascii="Times New Roman" w:hAnsi="Times New Roman" w:cs="Times New Roman"/>
          <w:b/>
          <w:bCs/>
          <w:sz w:val="24"/>
          <w:szCs w:val="24"/>
        </w:rPr>
        <w:t>METHODS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6C6C">
        <w:rPr>
          <w:rFonts w:ascii="Times New Roman" w:hAnsi="Times New Roman" w:cs="Times New Roman"/>
          <w:sz w:val="24"/>
          <w:szCs w:val="24"/>
        </w:rPr>
        <w:t xml:space="preserve"> </w:t>
      </w:r>
      <w:r w:rsidR="00626C6C" w:rsidRPr="00626C6C">
        <w:rPr>
          <w:rFonts w:ascii="Times New Roman" w:hAnsi="Times New Roman" w:cs="Times New Roman"/>
          <w:sz w:val="24"/>
          <w:szCs w:val="24"/>
        </w:rPr>
        <w:t>A total of 55 patients were selected to r</w:t>
      </w:r>
      <w:r w:rsidR="00626C6C" w:rsidRPr="00626C6C">
        <w:rPr>
          <w:rFonts w:ascii="Times New Roman" w:hAnsi="Times New Roman" w:cs="Times New Roman"/>
          <w:sz w:val="24"/>
          <w:szCs w:val="24"/>
        </w:rPr>
        <w:t xml:space="preserve"> </w:t>
      </w:r>
      <w:r w:rsidR="00626C6C" w:rsidRPr="00ED726E">
        <w:rPr>
          <w:rFonts w:ascii="Times New Roman" w:hAnsi="Times New Roman" w:cs="Times New Roman"/>
          <w:sz w:val="24"/>
          <w:szCs w:val="24"/>
        </w:rPr>
        <w:t>cytoreductive surgery and hyperthermic intraperitoneal chemo therapy</w:t>
      </w:r>
      <w:r w:rsidR="00626C6C" w:rsidRPr="00626C6C">
        <w:rPr>
          <w:rFonts w:ascii="Times New Roman" w:hAnsi="Times New Roman" w:cs="Times New Roman"/>
          <w:sz w:val="24"/>
          <w:szCs w:val="24"/>
        </w:rPr>
        <w:t xml:space="preserve"> in Beijing </w:t>
      </w:r>
      <w:proofErr w:type="spellStart"/>
      <w:r w:rsidR="00626C6C" w:rsidRPr="00626C6C">
        <w:rPr>
          <w:rFonts w:ascii="Times New Roman" w:hAnsi="Times New Roman" w:cs="Times New Roman"/>
          <w:sz w:val="24"/>
          <w:szCs w:val="24"/>
        </w:rPr>
        <w:t>Shijitan</w:t>
      </w:r>
      <w:proofErr w:type="spellEnd"/>
      <w:r w:rsidR="00626C6C" w:rsidRPr="00626C6C">
        <w:rPr>
          <w:rFonts w:ascii="Times New Roman" w:hAnsi="Times New Roman" w:cs="Times New Roman"/>
          <w:sz w:val="24"/>
          <w:szCs w:val="24"/>
        </w:rPr>
        <w:t xml:space="preserve"> Hospital from January 2020 to May 2022</w:t>
      </w:r>
      <w:r w:rsidR="006C6E05">
        <w:rPr>
          <w:rFonts w:ascii="Times New Roman" w:hAnsi="Times New Roman" w:cs="Times New Roman" w:hint="eastAsia"/>
          <w:sz w:val="24"/>
          <w:szCs w:val="24"/>
        </w:rPr>
        <w:t>.</w:t>
      </w:r>
      <w:r w:rsidR="006C6E05">
        <w:rPr>
          <w:rFonts w:ascii="Times New Roman" w:hAnsi="Times New Roman" w:cs="Times New Roman"/>
          <w:sz w:val="24"/>
          <w:szCs w:val="24"/>
        </w:rPr>
        <w:t xml:space="preserve"> </w:t>
      </w:r>
      <w:r w:rsidR="006C6E05" w:rsidRPr="006C6E05">
        <w:rPr>
          <w:rFonts w:ascii="Times New Roman" w:hAnsi="Times New Roman" w:cs="Times New Roman"/>
          <w:sz w:val="24"/>
          <w:szCs w:val="24"/>
        </w:rPr>
        <w:t xml:space="preserve">Perform </w:t>
      </w:r>
      <w:proofErr w:type="spellStart"/>
      <w:r w:rsidR="006C6E05" w:rsidRPr="006C6E05">
        <w:rPr>
          <w:rFonts w:ascii="Times New Roman" w:hAnsi="Times New Roman" w:cs="Times New Roman"/>
          <w:sz w:val="24"/>
          <w:szCs w:val="24"/>
        </w:rPr>
        <w:t>thromboelastography</w:t>
      </w:r>
      <w:proofErr w:type="spellEnd"/>
      <w:r w:rsidR="006C6E05" w:rsidRPr="006C6E05">
        <w:rPr>
          <w:rFonts w:ascii="Times New Roman" w:hAnsi="Times New Roman" w:cs="Times New Roman"/>
          <w:sz w:val="24"/>
          <w:szCs w:val="24"/>
        </w:rPr>
        <w:t xml:space="preserve"> monitoring before surgery (T1), at the midpoint of CRS (T2), before HIPEC (T3), after HIPEC (T4), and after surgery (T5), and compare the changes in R time, K time, </w:t>
      </w:r>
      <w:proofErr w:type="spellStart"/>
      <w:r w:rsidR="006C6E05" w:rsidRPr="006C6E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6E05" w:rsidRPr="006C6E05">
        <w:rPr>
          <w:rFonts w:ascii="Times New Roman" w:hAnsi="Times New Roman" w:cs="Times New Roman"/>
          <w:sz w:val="24"/>
          <w:szCs w:val="24"/>
        </w:rPr>
        <w:t xml:space="preserve"> angle, and MA value at each time point.</w:t>
      </w:r>
    </w:p>
    <w:p w14:paraId="05CAA034" w14:textId="718E6566" w:rsidR="009126B7" w:rsidRDefault="009126B7" w:rsidP="00ED726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RESULTS</w:t>
      </w:r>
      <w:r>
        <w:rPr>
          <w:rFonts w:ascii="Times New Roman" w:hAnsi="Times New Roman"/>
          <w:b/>
          <w:bCs/>
          <w:sz w:val="24"/>
        </w:rPr>
        <w:t xml:space="preserve">: </w:t>
      </w:r>
      <w:r w:rsidR="00271D44" w:rsidRPr="00271D44">
        <w:rPr>
          <w:rFonts w:ascii="Times New Roman" w:hAnsi="Times New Roman"/>
          <w:sz w:val="24"/>
        </w:rPr>
        <w:t>Before hyperthermic intraperitoneal chemotherapy, compared with T1, T2 showed an increase in R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>&gt;0.05), an increase in K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 xml:space="preserve">&lt;0.05), a decrease in </w:t>
      </w:r>
      <w:proofErr w:type="spellStart"/>
      <w:proofErr w:type="gramStart"/>
      <w:r w:rsidR="00271D44" w:rsidRPr="00271D44">
        <w:rPr>
          <w:rFonts w:ascii="Times New Roman" w:hAnsi="Times New Roman"/>
          <w:sz w:val="24"/>
        </w:rPr>
        <w:t>A</w:t>
      </w:r>
      <w:proofErr w:type="spellEnd"/>
      <w:proofErr w:type="gramEnd"/>
      <w:r w:rsidR="00271D44" w:rsidRPr="00271D44">
        <w:rPr>
          <w:rFonts w:ascii="Times New Roman" w:hAnsi="Times New Roman"/>
          <w:sz w:val="24"/>
        </w:rPr>
        <w:t xml:space="preserve"> angle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>&lt;0.05), and a decrease in MA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>&lt;0.05); Compared with T1, T3 shows a decrease in R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>&gt;0.05), an increase in K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 xml:space="preserve">&lt;0.05), a decrease in </w:t>
      </w:r>
      <w:proofErr w:type="spellStart"/>
      <w:r w:rsidR="00271D44" w:rsidRPr="00271D44">
        <w:rPr>
          <w:rFonts w:ascii="Times New Roman" w:hAnsi="Times New Roman"/>
          <w:sz w:val="24"/>
        </w:rPr>
        <w:t>A</w:t>
      </w:r>
      <w:proofErr w:type="spellEnd"/>
      <w:r w:rsidR="00271D44" w:rsidRPr="00271D44">
        <w:rPr>
          <w:rFonts w:ascii="Times New Roman" w:hAnsi="Times New Roman"/>
          <w:sz w:val="24"/>
        </w:rPr>
        <w:t xml:space="preserve"> angle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>&lt;0.05), and a decrease in MA (</w:t>
      </w:r>
      <w:r w:rsidR="00271D44" w:rsidRPr="00C97A3E">
        <w:rPr>
          <w:rFonts w:ascii="Times New Roman" w:hAnsi="Times New Roman"/>
          <w:i/>
          <w:iCs/>
          <w:sz w:val="24"/>
        </w:rPr>
        <w:t>p</w:t>
      </w:r>
      <w:r w:rsidR="00271D44" w:rsidRPr="00271D44">
        <w:rPr>
          <w:rFonts w:ascii="Times New Roman" w:hAnsi="Times New Roman"/>
          <w:sz w:val="24"/>
        </w:rPr>
        <w:t>&lt;0.05).</w:t>
      </w:r>
      <w:r w:rsidR="00C97A3E">
        <w:rPr>
          <w:rFonts w:ascii="Times New Roman" w:hAnsi="Times New Roman"/>
          <w:sz w:val="24"/>
        </w:rPr>
        <w:t xml:space="preserve"> </w:t>
      </w:r>
      <w:r w:rsidR="00C97A3E" w:rsidRPr="00C97A3E">
        <w:rPr>
          <w:rFonts w:ascii="Times New Roman" w:hAnsi="Times New Roman" w:cs="Times New Roman"/>
          <w:sz w:val="24"/>
          <w:szCs w:val="24"/>
        </w:rPr>
        <w:t>After</w:t>
      </w:r>
      <w:r w:rsidR="00C97A3E" w:rsidRPr="00C97A3E">
        <w:rPr>
          <w:rFonts w:ascii="Times New Roman" w:hAnsi="Times New Roman"/>
          <w:sz w:val="24"/>
        </w:rPr>
        <w:t xml:space="preserve"> </w:t>
      </w:r>
      <w:r w:rsidR="00C97A3E" w:rsidRPr="00271D44">
        <w:rPr>
          <w:rFonts w:ascii="Times New Roman" w:hAnsi="Times New Roman"/>
          <w:sz w:val="24"/>
        </w:rPr>
        <w:t>hyperthermic intraperitoneal chemotherapy,</w:t>
      </w:r>
      <w:r w:rsidR="00C97A3E">
        <w:rPr>
          <w:rFonts w:ascii="Times New Roman" w:hAnsi="Times New Roman"/>
          <w:sz w:val="24"/>
        </w:rPr>
        <w:t xml:space="preserve"> </w:t>
      </w:r>
      <w:r w:rsidR="00C97A3E" w:rsidRPr="00C97A3E">
        <w:rPr>
          <w:rFonts w:ascii="Times New Roman" w:hAnsi="Times New Roman" w:cs="Times New Roman"/>
          <w:sz w:val="24"/>
          <w:szCs w:val="24"/>
        </w:rPr>
        <w:t>compared with T3, T5 showed a decrease in R (</w:t>
      </w:r>
      <w:r w:rsidR="00C97A3E" w:rsidRPr="00C97A3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&lt;0.05), a decrease in K (</w:t>
      </w:r>
      <w:r w:rsidR="00C97A3E" w:rsidRPr="00C97A3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 xml:space="preserve">&gt;0.05), an increase in </w:t>
      </w:r>
      <w:proofErr w:type="spellStart"/>
      <w:r w:rsidR="00C97A3E" w:rsidRPr="00C97A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7A3E" w:rsidRPr="00C97A3E">
        <w:rPr>
          <w:rFonts w:ascii="Times New Roman" w:hAnsi="Times New Roman" w:cs="Times New Roman"/>
          <w:sz w:val="24"/>
          <w:szCs w:val="24"/>
        </w:rPr>
        <w:t xml:space="preserve"> angle (</w:t>
      </w:r>
      <w:r w:rsidR="00C97A3E" w:rsidRPr="00C97A3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&gt;0.05), and an increase in MA (</w:t>
      </w:r>
      <w:r w:rsidR="00C97A3E" w:rsidRPr="00C97A3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&lt;0.05); Compared with T1, T5 shows a decrease in R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&lt;0.05), an increase in K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 xml:space="preserve">&gt;0.05), a decrease in </w:t>
      </w:r>
      <w:proofErr w:type="spellStart"/>
      <w:r w:rsidR="00C97A3E" w:rsidRPr="00C97A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7A3E" w:rsidRPr="00C97A3E">
        <w:rPr>
          <w:rFonts w:ascii="Times New Roman" w:hAnsi="Times New Roman" w:cs="Times New Roman"/>
          <w:sz w:val="24"/>
          <w:szCs w:val="24"/>
        </w:rPr>
        <w:t xml:space="preserve"> angle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&lt;0.05), and a decrease in MA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&lt;0.05); Compared with T1, T4 shows a decrease in R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&lt;0.05), an increase in K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 xml:space="preserve">&lt;0.05), a decrease in </w:t>
      </w:r>
      <w:proofErr w:type="spellStart"/>
      <w:r w:rsidR="00C97A3E" w:rsidRPr="00C97A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7A3E" w:rsidRPr="00C97A3E">
        <w:rPr>
          <w:rFonts w:ascii="Times New Roman" w:hAnsi="Times New Roman" w:cs="Times New Roman"/>
          <w:sz w:val="24"/>
          <w:szCs w:val="24"/>
        </w:rPr>
        <w:t xml:space="preserve"> angle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&lt;0.05), and a decrease in MA (</w:t>
      </w:r>
      <w:r w:rsidR="00C97A3E" w:rsidRPr="00CA58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7A3E" w:rsidRPr="00C97A3E">
        <w:rPr>
          <w:rFonts w:ascii="Times New Roman" w:hAnsi="Times New Roman" w:cs="Times New Roman"/>
          <w:sz w:val="24"/>
          <w:szCs w:val="24"/>
        </w:rPr>
        <w:t>&lt;0.05).</w:t>
      </w:r>
    </w:p>
    <w:p w14:paraId="4B74C904" w14:textId="57090430" w:rsidR="00CA5853" w:rsidRPr="00271D44" w:rsidRDefault="00A00BD5" w:rsidP="00ED726E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A00BD5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0BD5">
        <w:rPr>
          <w:rFonts w:ascii="Times New Roman" w:hAnsi="Times New Roman" w:cs="Times New Roman"/>
          <w:sz w:val="24"/>
          <w:szCs w:val="24"/>
        </w:rPr>
        <w:t xml:space="preserve">Patients who underwent </w:t>
      </w:r>
      <w:r w:rsidRPr="00ED726E">
        <w:rPr>
          <w:rFonts w:ascii="Times New Roman" w:hAnsi="Times New Roman" w:cs="Times New Roman"/>
          <w:sz w:val="24"/>
          <w:szCs w:val="24"/>
        </w:rPr>
        <w:t>cytoreductive surgery and hyperthermic intraperitoneal chemotherapy</w:t>
      </w:r>
      <w:r w:rsidRPr="00A00BD5">
        <w:rPr>
          <w:rFonts w:ascii="Times New Roman" w:hAnsi="Times New Roman" w:cs="Times New Roman"/>
          <w:sz w:val="24"/>
          <w:szCs w:val="24"/>
        </w:rPr>
        <w:t xml:space="preserve"> showed lower levels of fibrinogen and weaker platelet function during the </w:t>
      </w:r>
      <w:r w:rsidRPr="00ED726E">
        <w:rPr>
          <w:rFonts w:ascii="Times New Roman" w:hAnsi="Times New Roman" w:cs="Times New Roman"/>
          <w:sz w:val="24"/>
          <w:szCs w:val="24"/>
        </w:rPr>
        <w:t>cytoreductive surgery</w:t>
      </w:r>
      <w:r w:rsidRPr="00A00BD5">
        <w:rPr>
          <w:rFonts w:ascii="Times New Roman" w:hAnsi="Times New Roman" w:cs="Times New Roman"/>
          <w:sz w:val="24"/>
          <w:szCs w:val="24"/>
        </w:rPr>
        <w:t xml:space="preserve"> </w:t>
      </w:r>
      <w:r w:rsidRPr="00A00BD5">
        <w:rPr>
          <w:rFonts w:ascii="Times New Roman" w:hAnsi="Times New Roman" w:cs="Times New Roman"/>
          <w:sz w:val="24"/>
          <w:szCs w:val="24"/>
        </w:rPr>
        <w:t>stage compared to preoperative patients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BD5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ED726E">
        <w:rPr>
          <w:rFonts w:ascii="Times New Roman" w:hAnsi="Times New Roman" w:cs="Times New Roman"/>
          <w:sz w:val="24"/>
          <w:szCs w:val="24"/>
        </w:rPr>
        <w:t>hyperthermic intraperitoneal chemotherapy</w:t>
      </w:r>
      <w:r w:rsidRPr="00A00BD5">
        <w:rPr>
          <w:rFonts w:ascii="Times New Roman" w:hAnsi="Times New Roman" w:cs="Times New Roman"/>
          <w:sz w:val="24"/>
          <w:szCs w:val="24"/>
        </w:rPr>
        <w:t>, the activity of coagulation factors is enhanced.</w:t>
      </w:r>
    </w:p>
    <w:sectPr w:rsidR="00CA5853" w:rsidRPr="00271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5960" w14:textId="77777777" w:rsidR="00617AEE" w:rsidRDefault="00617AEE" w:rsidP="00ED726E">
      <w:r>
        <w:separator/>
      </w:r>
    </w:p>
  </w:endnote>
  <w:endnote w:type="continuationSeparator" w:id="0">
    <w:p w14:paraId="7AEC3824" w14:textId="77777777" w:rsidR="00617AEE" w:rsidRDefault="00617AEE" w:rsidP="00E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0487" w14:textId="77777777" w:rsidR="00617AEE" w:rsidRDefault="00617AEE" w:rsidP="00ED726E">
      <w:r>
        <w:separator/>
      </w:r>
    </w:p>
  </w:footnote>
  <w:footnote w:type="continuationSeparator" w:id="0">
    <w:p w14:paraId="7BE6AE21" w14:textId="77777777" w:rsidR="00617AEE" w:rsidRDefault="00617AEE" w:rsidP="00ED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7F"/>
    <w:rsid w:val="00130A7F"/>
    <w:rsid w:val="00271D44"/>
    <w:rsid w:val="00617AEE"/>
    <w:rsid w:val="00626C6C"/>
    <w:rsid w:val="006C6E05"/>
    <w:rsid w:val="009126B7"/>
    <w:rsid w:val="00A00BD5"/>
    <w:rsid w:val="00A30704"/>
    <w:rsid w:val="00C97A3E"/>
    <w:rsid w:val="00CA5853"/>
    <w:rsid w:val="00E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845D"/>
  <w15:chartTrackingRefBased/>
  <w15:docId w15:val="{924D949A-DFEB-4199-AAF3-18311B52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27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5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shaoheng wang</dc:creator>
  <cp:keywords/>
  <dc:description/>
  <cp:lastModifiedBy>shaoheng wang</cp:lastModifiedBy>
  <cp:revision>2</cp:revision>
  <dcterms:created xsi:type="dcterms:W3CDTF">2023-12-14T14:20:00Z</dcterms:created>
  <dcterms:modified xsi:type="dcterms:W3CDTF">2023-12-14T14:20:00Z</dcterms:modified>
</cp:coreProperties>
</file>