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Abstract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】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Objective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To explore the value of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applying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different magnetic resonance imaging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MRI sequences in the differential diagnosis of benign and malignant breast tumors.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Materials and methods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Routine breast magnetic resonance scans (T1-weighted image, T1WI; </w:t>
      </w:r>
      <w:r>
        <w:rPr>
          <w:rFonts w:hint="default" w:ascii="Times New Roman" w:hAnsi="Times New Roman" w:eastAsia="宋体" w:cs="Times New Roman"/>
          <w:color w:val="231F20"/>
          <w:kern w:val="0"/>
          <w:sz w:val="21"/>
          <w:szCs w:val="21"/>
        </w:rPr>
        <w:t>T2-weighted image</w:t>
      </w: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T2WI),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dynamically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enhanced scans, DWI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</w:rPr>
        <w:t>and DKI scans were performed on 63 female patients with breast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occupying lesions. The benign and malignant lesions were confirmed by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biopsy, excisio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n -histopathology reports.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There are 70 lesions, of which 46 are benign and 24 are malignant. Analyze the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primary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conditions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</w:rPr>
        <w:t>such as the shape, size, and boundary of the lesion, and determine the apparent diffusion coefficient (ADC), mean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kurtosis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(MK)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and mean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diffusion(MD) values. The receiver operating characteristic curve (ROC) was used to evaluate the value and difference in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differentiating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benign and malignant lesions.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Results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sz w:val="21"/>
          <w:szCs w:val="21"/>
        </w:rPr>
        <w:t>In this study, the results of the two testers both showed that the MK of malignant lesions was significantly higher than that of benign lesions (P&lt;0.001), and the MD of benign lesions was higher than that of malignant lesions (P&lt;0.05). The ADC of benign lesions was higher than that of malignant lesions (P&lt;0.05).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For MK, the area under the curve (AUC) of the two testers was 0.855/0.869, respectively. When the best cut-off value of MK for tester 1 was 0.515, the sensitivity and specificity of MK for diagnosing malignant tumors were 83.3%/87.0%, respectively. For the two testers MD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and ADC, the area under the curve (AUC) was less than 0.5, and the diagnostic value was low.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Conclusion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The MK value obtained by DKI has a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specific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value in the differential diagnosis of benign and malignant breast lesions. DKI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is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help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ful in the identification of benign and malignant breast tumors. The diagnostic value is outstanding, and its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importance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to the changes in the microstructure of the organization needs to be further explored.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zFjODk3OWNiZmZmNzJhZmY5NGFkYTU2ZTU0MWQifQ=="/>
  </w:docVars>
  <w:rsids>
    <w:rsidRoot w:val="6BED6106"/>
    <w:rsid w:val="6BE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2023-12-09T12:06:00Z</dcterms:created>
  <dc:creator>Evefee</dc:creator>
  <cp:lastModifiedBy>Evefee</cp:lastModifiedBy>
  <dcterms:modified xsi:type="dcterms:W3CDTF">2023-12-09T12:07:15Z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179DCE064AA34354A907A81075CFE2CC_11</vt:lpwstr>
  </property>
</Properties>
</file>