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341B" w14:textId="77777777" w:rsidR="00B7002F" w:rsidRDefault="005E46C3">
      <w:pPr>
        <w:sectPr w:rsidR="00B7002F">
          <w:pgSz w:w="12240" w:h="15840"/>
          <w:pgMar w:top="1440" w:right="1440" w:bottom="1440" w:left="1440" w:header="720" w:footer="720" w:gutter="0"/>
          <w:cols w:space="720"/>
        </w:sectPr>
      </w:pPr>
      <w:r>
        <w:br w:type="page"/>
      </w:r>
    </w:p>
    <w:p w14:paraId="198CB8C1" w14:textId="75A93BE6" w:rsidR="00D87B20" w:rsidRDefault="00D87B20">
      <w:pPr>
        <w:rPr>
          <w:rtl/>
        </w:rPr>
      </w:pPr>
    </w:p>
    <w:p w14:paraId="3211674B" w14:textId="77777777" w:rsidR="00CC47BC" w:rsidRPr="00C71C24" w:rsidRDefault="005E46C3" w:rsidP="00CC47BC">
      <w:pPr>
        <w:autoSpaceDE w:val="0"/>
        <w:autoSpaceDN w:val="0"/>
        <w:adjustRightInd w:val="0"/>
        <w:jc w:val="center"/>
        <w:rPr>
          <w:rFonts w:ascii="Times New Roman" w:eastAsia="Calibri" w:hAnsi="Times New Roman" w:cs="Arial"/>
          <w:b/>
          <w:bCs/>
          <w:sz w:val="32"/>
          <w:szCs w:val="32"/>
        </w:rPr>
      </w:pPr>
      <w:r w:rsidRPr="00C71C24">
        <w:rPr>
          <w:rFonts w:ascii="Times New Roman" w:eastAsia="Calibri" w:hAnsi="Times New Roman" w:cs="Times New Roman"/>
          <w:b/>
          <w:bCs/>
          <w:sz w:val="32"/>
          <w:szCs w:val="32"/>
        </w:rPr>
        <w:t>OUTCOME OF TREATING PEDIATRIC LANGERHANS HISTIOCYTOSIS WITH LCH III</w:t>
      </w:r>
      <w:r w:rsidRPr="00C71C24">
        <w:rPr>
          <w:rFonts w:ascii="Times New Roman" w:eastAsia="Calibri" w:hAnsi="Times New Roman" w:cs="Arial"/>
          <w:b/>
          <w:bCs/>
          <w:sz w:val="32"/>
          <w:szCs w:val="32"/>
        </w:rPr>
        <w:t xml:space="preserve"> IN TERTIARY CENTER, SAUDI ARABIA.</w:t>
      </w:r>
    </w:p>
    <w:p w14:paraId="60B480E2" w14:textId="77777777" w:rsidR="00CC47BC" w:rsidRDefault="005E46C3" w:rsidP="00CC47BC">
      <w:pPr>
        <w:autoSpaceDE w:val="0"/>
        <w:autoSpaceDN w:val="0"/>
        <w:adjustRightInd w:val="0"/>
        <w:jc w:val="center"/>
        <w:rPr>
          <w:rFonts w:ascii="Times New Roman" w:eastAsia="Calibri" w:hAnsi="Times New Roman" w:cs="Times New Roman"/>
          <w:b/>
          <w:bCs/>
        </w:rPr>
      </w:pPr>
      <w:r>
        <w:rPr>
          <w:rFonts w:ascii="Times New Roman" w:eastAsia="Calibri" w:hAnsi="Times New Roman" w:cs="Times New Roman"/>
          <w:b/>
          <w:bCs/>
          <w:vertAlign w:val="superscript"/>
        </w:rPr>
        <w:t xml:space="preserve"> 1</w:t>
      </w:r>
      <w:r>
        <w:rPr>
          <w:rFonts w:ascii="Times New Roman" w:eastAsia="Calibri" w:hAnsi="Times New Roman" w:cs="Times New Roman"/>
          <w:b/>
          <w:bCs/>
        </w:rPr>
        <w:t xml:space="preserve">Abrar Salamah </w:t>
      </w:r>
      <w:proofErr w:type="spellStart"/>
      <w:r>
        <w:rPr>
          <w:rFonts w:ascii="Times New Roman" w:eastAsia="Calibri" w:hAnsi="Times New Roman" w:cs="Times New Roman"/>
          <w:b/>
          <w:bCs/>
        </w:rPr>
        <w:t>Almohammadi</w:t>
      </w:r>
      <w:proofErr w:type="spellEnd"/>
      <w:r>
        <w:rPr>
          <w:rFonts w:ascii="Times New Roman" w:eastAsia="Calibri" w:hAnsi="Times New Roman" w:cs="Times New Roman"/>
          <w:b/>
          <w:bCs/>
        </w:rPr>
        <w:t xml:space="preserve"> </w:t>
      </w:r>
    </w:p>
    <w:p w14:paraId="07C159BD" w14:textId="77777777" w:rsidR="00CC47BC" w:rsidRPr="00E07270" w:rsidRDefault="005E46C3" w:rsidP="00CC47BC">
      <w:pPr>
        <w:autoSpaceDE w:val="0"/>
        <w:autoSpaceDN w:val="0"/>
        <w:adjustRightInd w:val="0"/>
        <w:jc w:val="center"/>
        <w:rPr>
          <w:rFonts w:ascii="Times New Roman" w:eastAsia="Calibri" w:hAnsi="Times New Roman" w:cs="Times New Roman"/>
        </w:rPr>
      </w:pPr>
      <w:r w:rsidRPr="00E07270">
        <w:rPr>
          <w:rFonts w:ascii="Times New Roman" w:eastAsia="Calibri" w:hAnsi="Times New Roman" w:cs="Times New Roman"/>
        </w:rPr>
        <w:t>Assistant consultant of Pediatric Hematology and Oncology.</w:t>
      </w:r>
    </w:p>
    <w:p w14:paraId="1F9C4FE6" w14:textId="77777777" w:rsidR="00CC47BC" w:rsidRPr="00E07270" w:rsidRDefault="005E46C3" w:rsidP="00CC47BC">
      <w:pPr>
        <w:autoSpaceDE w:val="0"/>
        <w:autoSpaceDN w:val="0"/>
        <w:adjustRightInd w:val="0"/>
        <w:jc w:val="center"/>
        <w:rPr>
          <w:rFonts w:ascii="Times New Roman" w:eastAsia="Calibri" w:hAnsi="Times New Roman" w:cs="Times New Roman"/>
        </w:rPr>
      </w:pPr>
      <w:r w:rsidRPr="00E07270">
        <w:rPr>
          <w:rFonts w:ascii="Times New Roman" w:eastAsia="Calibri" w:hAnsi="Times New Roman" w:cs="Times New Roman"/>
        </w:rPr>
        <w:t>Princess Norah Oncology Center.</w:t>
      </w:r>
    </w:p>
    <w:p w14:paraId="4AB1F2C9" w14:textId="77777777" w:rsidR="00CC47BC" w:rsidRPr="00E07270" w:rsidRDefault="005E46C3" w:rsidP="00CC47BC">
      <w:pPr>
        <w:autoSpaceDE w:val="0"/>
        <w:autoSpaceDN w:val="0"/>
        <w:adjustRightInd w:val="0"/>
        <w:jc w:val="center"/>
        <w:rPr>
          <w:rFonts w:ascii="Times New Roman" w:eastAsia="Calibri" w:hAnsi="Times New Roman" w:cs="Times New Roman"/>
        </w:rPr>
      </w:pPr>
      <w:r w:rsidRPr="00E07270">
        <w:rPr>
          <w:rFonts w:ascii="Times New Roman" w:eastAsia="Calibri" w:hAnsi="Times New Roman" w:cs="Times New Roman"/>
        </w:rPr>
        <w:t xml:space="preserve">King </w:t>
      </w:r>
      <w:proofErr w:type="spellStart"/>
      <w:r w:rsidRPr="00E07270">
        <w:rPr>
          <w:rFonts w:ascii="Times New Roman" w:eastAsia="Calibri" w:hAnsi="Times New Roman" w:cs="Times New Roman"/>
        </w:rPr>
        <w:t>AbdulAziz</w:t>
      </w:r>
      <w:proofErr w:type="spellEnd"/>
      <w:r w:rsidRPr="00E07270">
        <w:rPr>
          <w:rFonts w:ascii="Times New Roman" w:eastAsia="Calibri" w:hAnsi="Times New Roman" w:cs="Times New Roman"/>
        </w:rPr>
        <w:t xml:space="preserve"> Medical City-Jeddah (KAMC-J)</w:t>
      </w:r>
    </w:p>
    <w:p w14:paraId="27BBE6C2" w14:textId="77777777" w:rsidR="00CC47BC" w:rsidRPr="00CF1242" w:rsidRDefault="005E46C3" w:rsidP="00CC47BC">
      <w:pPr>
        <w:autoSpaceDE w:val="0"/>
        <w:autoSpaceDN w:val="0"/>
        <w:adjustRightInd w:val="0"/>
        <w:jc w:val="center"/>
        <w:rPr>
          <w:rFonts w:ascii="Times New Roman" w:eastAsia="Calibri" w:hAnsi="Times New Roman" w:cs="Times New Roman"/>
          <w:b/>
          <w:bCs/>
        </w:rPr>
      </w:pPr>
      <w:r>
        <w:rPr>
          <w:rFonts w:ascii="Times New Roman" w:eastAsia="Calibri" w:hAnsi="Times New Roman" w:cs="Times New Roman"/>
          <w:b/>
          <w:bCs/>
          <w:vertAlign w:val="superscript"/>
        </w:rPr>
        <w:t>2</w:t>
      </w:r>
      <w:r w:rsidRPr="00CF1242">
        <w:rPr>
          <w:rFonts w:ascii="Times New Roman" w:eastAsia="Calibri" w:hAnsi="Times New Roman" w:cs="Times New Roman"/>
          <w:b/>
          <w:bCs/>
        </w:rPr>
        <w:t>Khalid Abdalla Khalid</w:t>
      </w:r>
    </w:p>
    <w:p w14:paraId="6E905CDE" w14:textId="77777777" w:rsidR="00CC47BC" w:rsidRPr="00CF1242" w:rsidRDefault="005E46C3" w:rsidP="00CC47BC">
      <w:pPr>
        <w:autoSpaceDE w:val="0"/>
        <w:autoSpaceDN w:val="0"/>
        <w:adjustRightInd w:val="0"/>
        <w:jc w:val="center"/>
        <w:rPr>
          <w:rFonts w:ascii="Times New Roman" w:eastAsia="Calibri" w:hAnsi="Times New Roman" w:cs="Times New Roman"/>
        </w:rPr>
      </w:pPr>
      <w:r w:rsidRPr="00CF1242">
        <w:rPr>
          <w:rFonts w:ascii="Times New Roman" w:eastAsia="Calibri" w:hAnsi="Times New Roman" w:cs="Times New Roman"/>
        </w:rPr>
        <w:t>consultant of Pediatrics Hematology and oncology</w:t>
      </w:r>
    </w:p>
    <w:p w14:paraId="334799EC" w14:textId="77777777" w:rsidR="00CC47BC" w:rsidRPr="00CF1242" w:rsidRDefault="005E46C3" w:rsidP="00CC47BC">
      <w:pPr>
        <w:autoSpaceDE w:val="0"/>
        <w:autoSpaceDN w:val="0"/>
        <w:adjustRightInd w:val="0"/>
        <w:jc w:val="center"/>
        <w:rPr>
          <w:rFonts w:ascii="Times New Roman" w:eastAsia="Calibri" w:hAnsi="Times New Roman" w:cs="Times New Roman"/>
        </w:rPr>
      </w:pPr>
      <w:r w:rsidRPr="00CF1242">
        <w:rPr>
          <w:rFonts w:ascii="Times New Roman" w:eastAsia="Calibri" w:hAnsi="Times New Roman" w:cs="Times New Roman"/>
        </w:rPr>
        <w:t>Princess Norah Oncology Center</w:t>
      </w:r>
    </w:p>
    <w:p w14:paraId="5CE8D484" w14:textId="77777777" w:rsidR="00CC47BC" w:rsidRPr="00CF1242" w:rsidRDefault="005E46C3" w:rsidP="00CC47BC">
      <w:pPr>
        <w:autoSpaceDE w:val="0"/>
        <w:autoSpaceDN w:val="0"/>
        <w:adjustRightInd w:val="0"/>
        <w:jc w:val="center"/>
        <w:rPr>
          <w:rFonts w:ascii="Times New Roman" w:eastAsia="Calibri" w:hAnsi="Times New Roman" w:cs="Times New Roman"/>
          <w:b/>
          <w:bCs/>
        </w:rPr>
      </w:pPr>
      <w:r>
        <w:rPr>
          <w:rFonts w:ascii="Times New Roman" w:eastAsia="Calibri" w:hAnsi="Times New Roman" w:cs="Times New Roman"/>
          <w:b/>
          <w:bCs/>
          <w:vertAlign w:val="superscript"/>
        </w:rPr>
        <w:t>3</w:t>
      </w:r>
      <w:r w:rsidRPr="00CF1242">
        <w:rPr>
          <w:rFonts w:ascii="Times New Roman" w:eastAsia="Calibri" w:hAnsi="Times New Roman" w:cs="Times New Roman"/>
          <w:b/>
          <w:bCs/>
        </w:rPr>
        <w:t xml:space="preserve">Moussa Mohamed </w:t>
      </w:r>
      <w:proofErr w:type="spellStart"/>
      <w:r w:rsidRPr="00CF1242">
        <w:rPr>
          <w:rFonts w:ascii="Times New Roman" w:eastAsia="Calibri" w:hAnsi="Times New Roman" w:cs="Times New Roman"/>
          <w:b/>
          <w:bCs/>
        </w:rPr>
        <w:t>Shehadah</w:t>
      </w:r>
      <w:proofErr w:type="spellEnd"/>
    </w:p>
    <w:p w14:paraId="6B2DA75D" w14:textId="77777777" w:rsidR="00CC47BC" w:rsidRPr="00CF1242" w:rsidRDefault="005E46C3" w:rsidP="00CC47BC">
      <w:pPr>
        <w:autoSpaceDE w:val="0"/>
        <w:autoSpaceDN w:val="0"/>
        <w:adjustRightInd w:val="0"/>
        <w:jc w:val="center"/>
        <w:rPr>
          <w:rFonts w:ascii="Times New Roman" w:eastAsia="Calibri" w:hAnsi="Times New Roman" w:cs="Times New Roman"/>
        </w:rPr>
      </w:pPr>
      <w:r w:rsidRPr="00CF1242">
        <w:rPr>
          <w:rFonts w:ascii="Times New Roman" w:eastAsia="Calibri" w:hAnsi="Times New Roman" w:cs="Times New Roman"/>
        </w:rPr>
        <w:t xml:space="preserve">Associate consultant of Pediatric </w:t>
      </w:r>
      <w:bookmarkStart w:id="0" w:name="_Hlk57034239"/>
      <w:r w:rsidRPr="00CF1242">
        <w:rPr>
          <w:rFonts w:ascii="Times New Roman" w:eastAsia="Calibri" w:hAnsi="Times New Roman" w:cs="Times New Roman"/>
        </w:rPr>
        <w:t>Hematology and Oncology.</w:t>
      </w:r>
    </w:p>
    <w:p w14:paraId="517A8BB4" w14:textId="77777777" w:rsidR="00CC47BC" w:rsidRPr="00CF1242" w:rsidRDefault="005E46C3" w:rsidP="00CC47BC">
      <w:pPr>
        <w:autoSpaceDE w:val="0"/>
        <w:autoSpaceDN w:val="0"/>
        <w:adjustRightInd w:val="0"/>
        <w:jc w:val="center"/>
        <w:rPr>
          <w:rFonts w:ascii="Times New Roman" w:eastAsia="Calibri" w:hAnsi="Times New Roman" w:cs="Times New Roman"/>
        </w:rPr>
      </w:pPr>
      <w:r w:rsidRPr="00CF1242">
        <w:rPr>
          <w:rFonts w:ascii="Times New Roman" w:eastAsia="Calibri" w:hAnsi="Times New Roman" w:cs="Times New Roman"/>
        </w:rPr>
        <w:t>Princess Norah Oncology Center.</w:t>
      </w:r>
    </w:p>
    <w:p w14:paraId="654E480A" w14:textId="77777777" w:rsidR="00CC47BC" w:rsidRPr="00CF1242" w:rsidRDefault="005E46C3" w:rsidP="00CC47BC">
      <w:pPr>
        <w:autoSpaceDE w:val="0"/>
        <w:autoSpaceDN w:val="0"/>
        <w:adjustRightInd w:val="0"/>
        <w:jc w:val="center"/>
        <w:rPr>
          <w:rFonts w:ascii="Times New Roman" w:eastAsia="Calibri" w:hAnsi="Times New Roman" w:cs="Times New Roman"/>
        </w:rPr>
      </w:pPr>
      <w:r w:rsidRPr="00CF1242">
        <w:rPr>
          <w:rFonts w:ascii="Times New Roman" w:eastAsia="Calibri" w:hAnsi="Times New Roman" w:cs="Times New Roman"/>
        </w:rPr>
        <w:t xml:space="preserve">King </w:t>
      </w:r>
      <w:proofErr w:type="spellStart"/>
      <w:r w:rsidRPr="00CF1242">
        <w:rPr>
          <w:rFonts w:ascii="Times New Roman" w:eastAsia="Calibri" w:hAnsi="Times New Roman" w:cs="Times New Roman"/>
        </w:rPr>
        <w:t>AbdulAziz</w:t>
      </w:r>
      <w:proofErr w:type="spellEnd"/>
      <w:r w:rsidRPr="00CF1242">
        <w:rPr>
          <w:rFonts w:ascii="Times New Roman" w:eastAsia="Calibri" w:hAnsi="Times New Roman" w:cs="Times New Roman"/>
        </w:rPr>
        <w:t xml:space="preserve"> Medical City-Jeddah (KAMC-J)</w:t>
      </w:r>
    </w:p>
    <w:bookmarkEnd w:id="0"/>
    <w:p w14:paraId="072E84B3" w14:textId="77777777" w:rsidR="00CC47BC" w:rsidRPr="00CF1242" w:rsidRDefault="005E46C3" w:rsidP="00CC47BC">
      <w:pPr>
        <w:autoSpaceDE w:val="0"/>
        <w:autoSpaceDN w:val="0"/>
        <w:adjustRightInd w:val="0"/>
        <w:jc w:val="center"/>
        <w:rPr>
          <w:rFonts w:ascii="Times New Roman" w:eastAsia="Calibri" w:hAnsi="Times New Roman" w:cs="Times New Roman"/>
          <w:b/>
          <w:bCs/>
        </w:rPr>
      </w:pPr>
      <w:r>
        <w:rPr>
          <w:rFonts w:ascii="Times New Roman" w:eastAsia="Calibri" w:hAnsi="Times New Roman" w:cs="Times New Roman"/>
          <w:b/>
          <w:bCs/>
          <w:vertAlign w:val="superscript"/>
        </w:rPr>
        <w:t>4</w:t>
      </w:r>
      <w:r w:rsidRPr="00CF1242">
        <w:rPr>
          <w:rFonts w:ascii="Times New Roman" w:eastAsia="Calibri" w:hAnsi="Times New Roman" w:cs="Times New Roman"/>
          <w:b/>
          <w:bCs/>
        </w:rPr>
        <w:t>Abdullah. A. Baothman</w:t>
      </w:r>
    </w:p>
    <w:p w14:paraId="1EA56B12" w14:textId="77777777" w:rsidR="00CC47BC" w:rsidRPr="00CF1242" w:rsidRDefault="005E46C3" w:rsidP="00CC47BC">
      <w:pPr>
        <w:autoSpaceDE w:val="0"/>
        <w:autoSpaceDN w:val="0"/>
        <w:adjustRightInd w:val="0"/>
        <w:jc w:val="center"/>
        <w:rPr>
          <w:rFonts w:ascii="Times New Roman" w:eastAsia="Calibri" w:hAnsi="Times New Roman" w:cs="Times New Roman"/>
        </w:rPr>
      </w:pPr>
      <w:r w:rsidRPr="00CF1242">
        <w:rPr>
          <w:rFonts w:ascii="Times New Roman" w:eastAsia="Calibri" w:hAnsi="Times New Roman" w:cs="Times New Roman"/>
        </w:rPr>
        <w:t>Consultant of Pediatrics Hematology and oncology</w:t>
      </w:r>
    </w:p>
    <w:p w14:paraId="4B09532D" w14:textId="77777777" w:rsidR="00CC47BC" w:rsidRPr="00CF1242" w:rsidRDefault="005E46C3" w:rsidP="00CC47BC">
      <w:pPr>
        <w:autoSpaceDE w:val="0"/>
        <w:autoSpaceDN w:val="0"/>
        <w:adjustRightInd w:val="0"/>
        <w:jc w:val="center"/>
        <w:rPr>
          <w:rFonts w:ascii="Times New Roman" w:eastAsia="Calibri" w:hAnsi="Times New Roman" w:cs="Times New Roman"/>
        </w:rPr>
      </w:pPr>
      <w:r w:rsidRPr="00CF1242">
        <w:rPr>
          <w:rFonts w:ascii="Times New Roman" w:eastAsia="Calibri" w:hAnsi="Times New Roman" w:cs="Times New Roman"/>
        </w:rPr>
        <w:t>Princess Norah Oncology Center</w:t>
      </w:r>
    </w:p>
    <w:p w14:paraId="3FC8C3AF" w14:textId="77777777" w:rsidR="00CC47BC" w:rsidRPr="00CF1242" w:rsidRDefault="005E46C3" w:rsidP="00CC47BC">
      <w:pPr>
        <w:autoSpaceDE w:val="0"/>
        <w:autoSpaceDN w:val="0"/>
        <w:adjustRightInd w:val="0"/>
        <w:jc w:val="center"/>
        <w:rPr>
          <w:rFonts w:ascii="Times New Roman" w:eastAsia="Calibri" w:hAnsi="Times New Roman" w:cs="Times New Roman"/>
        </w:rPr>
      </w:pPr>
      <w:r w:rsidRPr="00CF1242">
        <w:rPr>
          <w:rFonts w:ascii="Times New Roman" w:eastAsia="Calibri" w:hAnsi="Times New Roman" w:cs="Times New Roman"/>
        </w:rPr>
        <w:t xml:space="preserve">King </w:t>
      </w:r>
      <w:proofErr w:type="spellStart"/>
      <w:r w:rsidRPr="00CF1242">
        <w:rPr>
          <w:rFonts w:ascii="Times New Roman" w:eastAsia="Calibri" w:hAnsi="Times New Roman" w:cs="Times New Roman"/>
        </w:rPr>
        <w:t>AbdulAziz</w:t>
      </w:r>
      <w:proofErr w:type="spellEnd"/>
      <w:r w:rsidRPr="00CF1242">
        <w:rPr>
          <w:rFonts w:ascii="Times New Roman" w:eastAsia="Calibri" w:hAnsi="Times New Roman" w:cs="Times New Roman"/>
        </w:rPr>
        <w:t xml:space="preserve"> Medical City-Jeddah (KAMC-J)</w:t>
      </w:r>
    </w:p>
    <w:p w14:paraId="1407DE5A" w14:textId="77777777" w:rsidR="00CC47BC" w:rsidRPr="00CF1242" w:rsidRDefault="005E46C3" w:rsidP="00CC47BC">
      <w:pPr>
        <w:autoSpaceDE w:val="0"/>
        <w:autoSpaceDN w:val="0"/>
        <w:adjustRightInd w:val="0"/>
        <w:jc w:val="center"/>
        <w:rPr>
          <w:rFonts w:ascii="Times New Roman" w:eastAsia="Calibri" w:hAnsi="Times New Roman" w:cs="Times New Roman"/>
        </w:rPr>
      </w:pPr>
      <w:r w:rsidRPr="00CF1242">
        <w:rPr>
          <w:rFonts w:ascii="Times New Roman" w:eastAsia="Calibri" w:hAnsi="Times New Roman" w:cs="Times New Roman"/>
        </w:rPr>
        <w:t>Assistant professor of pediatric</w:t>
      </w:r>
    </w:p>
    <w:p w14:paraId="0CE9EB01" w14:textId="77777777" w:rsidR="00CC47BC" w:rsidRPr="00CF1242" w:rsidRDefault="005E46C3" w:rsidP="00CC47BC">
      <w:pPr>
        <w:autoSpaceDE w:val="0"/>
        <w:autoSpaceDN w:val="0"/>
        <w:adjustRightInd w:val="0"/>
        <w:jc w:val="center"/>
        <w:rPr>
          <w:rFonts w:ascii="Times New Roman" w:eastAsia="Calibri" w:hAnsi="Times New Roman" w:cs="Times New Roman"/>
        </w:rPr>
      </w:pPr>
      <w:r w:rsidRPr="00CF1242">
        <w:rPr>
          <w:rFonts w:ascii="Times New Roman" w:eastAsia="Calibri" w:hAnsi="Times New Roman" w:cs="Times New Roman"/>
        </w:rPr>
        <w:t xml:space="preserve">King Saud Bin </w:t>
      </w:r>
      <w:proofErr w:type="spellStart"/>
      <w:r w:rsidRPr="00CF1242">
        <w:rPr>
          <w:rFonts w:ascii="Times New Roman" w:eastAsia="Calibri" w:hAnsi="Times New Roman" w:cs="Times New Roman"/>
        </w:rPr>
        <w:t>AbdulAziz</w:t>
      </w:r>
      <w:proofErr w:type="spellEnd"/>
      <w:r w:rsidRPr="00CF1242">
        <w:rPr>
          <w:rFonts w:ascii="Times New Roman" w:eastAsia="Calibri" w:hAnsi="Times New Roman" w:cs="Times New Roman"/>
        </w:rPr>
        <w:t xml:space="preserve"> University for Health Science (KSAU-HS)</w:t>
      </w:r>
    </w:p>
    <w:p w14:paraId="04E943B5" w14:textId="2C4DEE04" w:rsidR="00CC47BC" w:rsidRDefault="005E46C3" w:rsidP="00CC47BC">
      <w:pPr>
        <w:autoSpaceDE w:val="0"/>
        <w:autoSpaceDN w:val="0"/>
        <w:adjustRightInd w:val="0"/>
        <w:jc w:val="center"/>
        <w:rPr>
          <w:rFonts w:ascii="Times New Roman" w:eastAsia="Calibri" w:hAnsi="Times New Roman" w:cs="Times New Roman"/>
          <w:i/>
          <w:iCs/>
          <w:rtl/>
        </w:rPr>
      </w:pPr>
      <w:r w:rsidRPr="00CF1242">
        <w:rPr>
          <w:rFonts w:ascii="Times New Roman" w:eastAsia="Calibri" w:hAnsi="Times New Roman" w:cs="Times New Roman"/>
          <w:i/>
          <w:iCs/>
        </w:rPr>
        <w:t xml:space="preserve">Corresponding author Email: </w:t>
      </w:r>
      <w:hyperlink r:id="rId11" w:history="1">
        <w:r w:rsidRPr="00D44EEF">
          <w:rPr>
            <w:rStyle w:val="Hyperlink"/>
            <w:rFonts w:ascii="Times New Roman" w:eastAsia="Calibri" w:hAnsi="Times New Roman" w:cs="Times New Roman"/>
            <w:i/>
            <w:iCs/>
          </w:rPr>
          <w:t>baothmanaa@ngha.med.sa</w:t>
        </w:r>
      </w:hyperlink>
    </w:p>
    <w:p w14:paraId="03D72F07" w14:textId="77777777" w:rsidR="00CC47BC" w:rsidRPr="00CF1242" w:rsidRDefault="00CC47BC" w:rsidP="00CC47BC">
      <w:pPr>
        <w:autoSpaceDE w:val="0"/>
        <w:autoSpaceDN w:val="0"/>
        <w:adjustRightInd w:val="0"/>
        <w:jc w:val="center"/>
        <w:rPr>
          <w:rFonts w:ascii="Times New Roman" w:eastAsia="Calibri" w:hAnsi="Times New Roman" w:cs="Times New Roman"/>
          <w:b/>
          <w:bCs/>
          <w:i/>
          <w:iCs/>
        </w:rPr>
      </w:pPr>
    </w:p>
    <w:p w14:paraId="7133E2D3" w14:textId="77777777" w:rsidR="00CC47BC" w:rsidRDefault="00CC47BC" w:rsidP="00CC47BC">
      <w:pPr>
        <w:spacing w:after="160" w:line="259" w:lineRule="auto"/>
        <w:rPr>
          <w:rFonts w:asciiTheme="majorBidi" w:hAnsiTheme="majorBidi" w:cstheme="majorBidi"/>
          <w:b/>
          <w:bCs/>
          <w:u w:val="single"/>
        </w:rPr>
      </w:pPr>
    </w:p>
    <w:p w14:paraId="6E91BD33" w14:textId="77777777" w:rsidR="00CC47BC" w:rsidRDefault="005E46C3" w:rsidP="00CC47BC">
      <w:pPr>
        <w:spacing w:after="160" w:line="259" w:lineRule="auto"/>
        <w:rPr>
          <w:rFonts w:asciiTheme="majorBidi" w:hAnsiTheme="majorBidi" w:cstheme="majorBidi"/>
          <w:b/>
          <w:bCs/>
          <w:i/>
          <w:iCs/>
        </w:rPr>
      </w:pPr>
      <w:r>
        <w:rPr>
          <w:rFonts w:asciiTheme="majorBidi" w:hAnsiTheme="majorBidi" w:cstheme="majorBidi"/>
          <w:b/>
          <w:bCs/>
          <w:i/>
          <w:iCs/>
        </w:rPr>
        <w:br w:type="page"/>
      </w:r>
    </w:p>
    <w:p w14:paraId="681433CD" w14:textId="77777777" w:rsidR="00CC47BC" w:rsidRPr="00655966" w:rsidRDefault="005E46C3" w:rsidP="00CC47BC">
      <w:pPr>
        <w:spacing w:after="160" w:line="360" w:lineRule="auto"/>
        <w:jc w:val="center"/>
        <w:rPr>
          <w:rFonts w:asciiTheme="majorBidi" w:hAnsiTheme="majorBidi" w:cstheme="majorBidi"/>
          <w:b/>
          <w:bCs/>
        </w:rPr>
      </w:pPr>
      <w:r w:rsidRPr="00655966">
        <w:rPr>
          <w:rFonts w:asciiTheme="majorBidi" w:hAnsiTheme="majorBidi" w:cstheme="majorBidi"/>
          <w:b/>
          <w:bCs/>
        </w:rPr>
        <w:lastRenderedPageBreak/>
        <w:t>Abstract</w:t>
      </w:r>
    </w:p>
    <w:p w14:paraId="6A143D6D" w14:textId="15AC3C03" w:rsidR="00CC47BC" w:rsidRPr="00D66AF1" w:rsidRDefault="005E46C3" w:rsidP="00CC47BC">
      <w:pPr>
        <w:spacing w:after="160"/>
        <w:jc w:val="both"/>
        <w:rPr>
          <w:rFonts w:asciiTheme="majorBidi" w:hAnsiTheme="majorBidi" w:cstheme="majorBidi"/>
        </w:rPr>
      </w:pPr>
      <w:r w:rsidRPr="00D66AF1">
        <w:rPr>
          <w:rFonts w:asciiTheme="majorBidi" w:hAnsiTheme="majorBidi" w:cstheme="majorBidi"/>
          <w:b/>
          <w:bCs/>
          <w:i/>
          <w:iCs/>
        </w:rPr>
        <w:t>Background</w:t>
      </w:r>
      <w:r>
        <w:rPr>
          <w:rFonts w:asciiTheme="majorBidi" w:hAnsiTheme="majorBidi" w:cstheme="majorBidi"/>
          <w:b/>
          <w:bCs/>
          <w:i/>
          <w:iCs/>
        </w:rPr>
        <w:t xml:space="preserve">: </w:t>
      </w:r>
      <w:r w:rsidRPr="00D66AF1">
        <w:rPr>
          <w:rFonts w:asciiTheme="majorBidi" w:hAnsiTheme="majorBidi" w:cstheme="majorBidi"/>
        </w:rPr>
        <w:t>Langerhans cell histiocytosis (LCH) is a rare disease affecting any age and organ; its presentations and outcome</w:t>
      </w:r>
      <w:r>
        <w:rPr>
          <w:rFonts w:ascii="Times New Roman" w:eastAsia="Calibri" w:hAnsi="Times New Roman" w:cs="Times New Roman"/>
        </w:rPr>
        <w:t>s vary from self-healing lesions to life-threatening disseminated disease. This study evaluate</w:t>
      </w:r>
      <w:r w:rsidR="006C10F8">
        <w:rPr>
          <w:rFonts w:asciiTheme="majorBidi" w:hAnsiTheme="majorBidi" w:cstheme="majorBidi"/>
        </w:rPr>
        <w:t xml:space="preserve">d </w:t>
      </w:r>
      <w:r w:rsidRPr="00D66AF1">
        <w:rPr>
          <w:rFonts w:asciiTheme="majorBidi" w:hAnsiTheme="majorBidi" w:cstheme="majorBidi"/>
        </w:rPr>
        <w:t>the outcome</w:t>
      </w:r>
      <w:r>
        <w:rPr>
          <w:rFonts w:ascii="Times New Roman" w:eastAsia="Calibri" w:hAnsi="Times New Roman" w:cs="Times New Roman"/>
        </w:rPr>
        <w:t>s of treating children diagnosed with Langerhans cell histiocytosis (LCH) at the Oncology Center</w:t>
      </w:r>
      <w:r w:rsidRPr="00D66AF1">
        <w:rPr>
          <w:rFonts w:asciiTheme="majorBidi" w:hAnsiTheme="majorBidi" w:cstheme="majorBidi"/>
        </w:rPr>
        <w:t xml:space="preserve"> in Saudi Arabia. </w:t>
      </w:r>
    </w:p>
    <w:p w14:paraId="25856567" w14:textId="757E3448" w:rsidR="00CC47BC" w:rsidRPr="00D66AF1" w:rsidRDefault="005E46C3" w:rsidP="00CC47BC">
      <w:pPr>
        <w:spacing w:after="160"/>
        <w:jc w:val="both"/>
        <w:rPr>
          <w:rFonts w:asciiTheme="majorBidi" w:hAnsiTheme="majorBidi" w:cstheme="majorBidi"/>
        </w:rPr>
      </w:pPr>
      <w:r>
        <w:rPr>
          <w:rFonts w:asciiTheme="majorBidi" w:hAnsiTheme="majorBidi" w:cstheme="majorBidi"/>
          <w:b/>
          <w:bCs/>
          <w:i/>
          <w:iCs/>
        </w:rPr>
        <w:t>Methodology</w:t>
      </w:r>
      <w:r w:rsidRPr="00D66AF1">
        <w:rPr>
          <w:rFonts w:asciiTheme="majorBidi" w:hAnsiTheme="majorBidi" w:cstheme="majorBidi"/>
          <w:b/>
          <w:bCs/>
          <w:i/>
          <w:iCs/>
        </w:rPr>
        <w:t>:</w:t>
      </w:r>
      <w:r w:rsidRPr="00D66AF1">
        <w:rPr>
          <w:rFonts w:asciiTheme="majorBidi" w:hAnsiTheme="majorBidi" w:cstheme="majorBidi"/>
        </w:rPr>
        <w:t xml:space="preserve"> Through a retrospective study design, the researchers reviewed the medical records and electronic files of all children (aged 0–14 years) who had been diagnosed </w:t>
      </w:r>
      <w:r>
        <w:rPr>
          <w:rFonts w:ascii="Times New Roman" w:eastAsia="Calibri" w:hAnsi="Times New Roman" w:cs="Times New Roman"/>
        </w:rPr>
        <w:t xml:space="preserve">with and treated for LCH at Princess Norah Oncology Center (PNOC), King Abdelaziz Medical City, Saudi Arabia, </w:t>
      </w:r>
      <w:r w:rsidRPr="00D66AF1">
        <w:rPr>
          <w:rFonts w:asciiTheme="majorBidi" w:hAnsiTheme="majorBidi" w:cstheme="majorBidi"/>
        </w:rPr>
        <w:t xml:space="preserve">between January 2000 and December 2019 (n=33). </w:t>
      </w:r>
    </w:p>
    <w:p w14:paraId="098FDBFD" w14:textId="7466EE1F" w:rsidR="00CC47BC" w:rsidRPr="00D66AF1" w:rsidRDefault="005E46C3" w:rsidP="00CC47BC">
      <w:pPr>
        <w:spacing w:after="160"/>
        <w:jc w:val="both"/>
        <w:rPr>
          <w:rFonts w:asciiTheme="majorBidi" w:hAnsiTheme="majorBidi" w:cstheme="majorBidi"/>
        </w:rPr>
      </w:pPr>
      <w:r>
        <w:rPr>
          <w:rFonts w:asciiTheme="majorBidi" w:hAnsiTheme="majorBidi" w:cstheme="majorBidi"/>
          <w:b/>
          <w:bCs/>
          <w:i/>
          <w:iCs/>
        </w:rPr>
        <w:t>Findings:</w:t>
      </w:r>
      <w:r w:rsidRPr="00D66AF1">
        <w:rPr>
          <w:rFonts w:asciiTheme="majorBidi" w:hAnsiTheme="majorBidi" w:cstheme="majorBidi"/>
          <w:b/>
          <w:bCs/>
          <w:i/>
          <w:iCs/>
        </w:rPr>
        <w:t xml:space="preserve"> </w:t>
      </w:r>
      <w:r w:rsidRPr="00D66AF1">
        <w:rPr>
          <w:rFonts w:asciiTheme="majorBidi" w:hAnsiTheme="majorBidi" w:cstheme="majorBidi"/>
        </w:rPr>
        <w:t xml:space="preserve">Males constituted (66.7%), with </w:t>
      </w:r>
      <w:r>
        <w:rPr>
          <w:rFonts w:ascii="Times New Roman" w:eastAsia="Calibri" w:hAnsi="Times New Roman" w:cs="Times New Roman"/>
        </w:rPr>
        <w:t>a remarkable dominance of Saudis (93.9%). The median age at diagnosis was 28 months (interquartile range [IQR] =49 months)</w:t>
      </w:r>
      <w:r w:rsidRPr="00D66AF1">
        <w:rPr>
          <w:rFonts w:asciiTheme="majorBidi" w:hAnsiTheme="majorBidi" w:cstheme="majorBidi"/>
        </w:rPr>
        <w:t>, (42.4%) were diagnosed before their second birthday</w:t>
      </w:r>
      <w:r w:rsidRPr="00D66AF1">
        <w:rPr>
          <w:rFonts w:asciiTheme="majorBidi" w:hAnsiTheme="majorBidi" w:cstheme="majorBidi"/>
          <w:b/>
          <w:bCs/>
          <w:i/>
          <w:iCs/>
        </w:rPr>
        <w:t xml:space="preserve">. </w:t>
      </w:r>
      <w:r w:rsidRPr="00D66AF1">
        <w:rPr>
          <w:rFonts w:asciiTheme="majorBidi" w:hAnsiTheme="majorBidi" w:cstheme="majorBidi"/>
        </w:rPr>
        <w:t xml:space="preserve">Fourteen patients (42.4%) had </w:t>
      </w:r>
      <w:r>
        <w:rPr>
          <w:rFonts w:ascii="Times New Roman" w:eastAsia="Calibri" w:hAnsi="Times New Roman" w:cs="Times New Roman"/>
        </w:rPr>
        <w:t xml:space="preserve">multisystem (MS-LCH) involvement, of which 13 patients were risk organ </w:t>
      </w:r>
      <w:r w:rsidRPr="00D66AF1">
        <w:rPr>
          <w:rFonts w:asciiTheme="majorBidi" w:eastAsia="Times New Roman" w:hAnsiTheme="majorBidi" w:cstheme="majorBidi"/>
        </w:rPr>
        <w:t>(RO) (+)</w:t>
      </w:r>
      <w:r w:rsidRPr="00D66AF1">
        <w:rPr>
          <w:rFonts w:asciiTheme="majorBidi" w:hAnsiTheme="majorBidi" w:cstheme="majorBidi"/>
        </w:rPr>
        <w:t xml:space="preserve"> and one patient </w:t>
      </w:r>
      <w:r>
        <w:rPr>
          <w:rFonts w:ascii="Times New Roman" w:eastAsia="Calibri" w:hAnsi="Times New Roman" w:cs="Times New Roman"/>
        </w:rPr>
        <w:t xml:space="preserve">was without risk organ </w:t>
      </w:r>
      <w:r w:rsidRPr="00D66AF1">
        <w:rPr>
          <w:rFonts w:asciiTheme="majorBidi" w:eastAsia="Times New Roman" w:hAnsiTheme="majorBidi" w:cstheme="majorBidi"/>
        </w:rPr>
        <w:t>(RO) (-)</w:t>
      </w:r>
      <w:r w:rsidRPr="00D66AF1">
        <w:rPr>
          <w:rFonts w:asciiTheme="majorBidi" w:hAnsiTheme="majorBidi" w:cstheme="majorBidi"/>
        </w:rPr>
        <w:t xml:space="preserve">. Most of the patients received </w:t>
      </w:r>
      <w:r>
        <w:rPr>
          <w:rFonts w:ascii="Times New Roman" w:eastAsia="Calibri" w:hAnsi="Times New Roman" w:cs="Times New Roman"/>
        </w:rPr>
        <w:t>the LCH III protocol</w:t>
      </w:r>
      <w:r w:rsidRPr="00D66AF1">
        <w:rPr>
          <w:rFonts w:asciiTheme="majorBidi" w:hAnsiTheme="majorBidi" w:cstheme="majorBidi"/>
        </w:rPr>
        <w:t xml:space="preserve">. Reactivation occurred in 11 patients (33.3%), and two deaths (6.1%) occurred in patients with MS </w:t>
      </w:r>
      <w:r w:rsidRPr="00D66AF1">
        <w:rPr>
          <w:rFonts w:asciiTheme="majorBidi" w:eastAsia="Times New Roman" w:hAnsiTheme="majorBidi" w:cstheme="majorBidi"/>
        </w:rPr>
        <w:t>(RO) (+)</w:t>
      </w:r>
      <w:r w:rsidRPr="00D66AF1">
        <w:rPr>
          <w:rFonts w:asciiTheme="majorBidi" w:hAnsiTheme="majorBidi" w:cstheme="majorBidi"/>
        </w:rPr>
        <w:t xml:space="preserve"> progressive disease. The overall survival </w:t>
      </w:r>
      <w:r>
        <w:rPr>
          <w:rFonts w:ascii="Times New Roman" w:eastAsia="Calibri" w:hAnsi="Times New Roman" w:cs="Times New Roman"/>
        </w:rPr>
        <w:t>rate was 93.9%</w:t>
      </w:r>
      <w:r w:rsidRPr="00D66AF1">
        <w:rPr>
          <w:rFonts w:asciiTheme="majorBidi" w:hAnsiTheme="majorBidi" w:cstheme="majorBidi"/>
        </w:rPr>
        <w:t>, with no statistically significant difference in event-free survival observed between patients with multisystem involvement and those with single system involvement.</w:t>
      </w:r>
    </w:p>
    <w:p w14:paraId="6EF73BE5" w14:textId="4F0128B0" w:rsidR="00CC47BC" w:rsidRDefault="005E46C3" w:rsidP="00300112">
      <w:pPr>
        <w:spacing w:after="160"/>
        <w:jc w:val="both"/>
        <w:rPr>
          <w:rFonts w:asciiTheme="majorBidi" w:hAnsiTheme="majorBidi" w:cstheme="majorBidi"/>
        </w:rPr>
      </w:pPr>
      <w:r w:rsidRPr="00D66AF1">
        <w:rPr>
          <w:rFonts w:asciiTheme="majorBidi" w:hAnsiTheme="majorBidi" w:cstheme="majorBidi"/>
          <w:b/>
          <w:bCs/>
          <w:i/>
          <w:iCs/>
        </w:rPr>
        <w:t>Conclusion</w:t>
      </w:r>
      <w:r>
        <w:rPr>
          <w:rFonts w:asciiTheme="majorBidi" w:hAnsiTheme="majorBidi" w:cstheme="majorBidi"/>
          <w:b/>
          <w:bCs/>
          <w:i/>
          <w:iCs/>
        </w:rPr>
        <w:t xml:space="preserve"> and recommendations:</w:t>
      </w:r>
      <w:r w:rsidRPr="00D66AF1">
        <w:rPr>
          <w:rFonts w:asciiTheme="majorBidi" w:hAnsiTheme="majorBidi" w:cstheme="majorBidi"/>
          <w:b/>
          <w:bCs/>
          <w:i/>
          <w:iCs/>
        </w:rPr>
        <w:t xml:space="preserve"> </w:t>
      </w:r>
      <w:r w:rsidRPr="00D66AF1">
        <w:rPr>
          <w:rFonts w:asciiTheme="majorBidi" w:hAnsiTheme="majorBidi" w:cstheme="majorBidi"/>
        </w:rPr>
        <w:t>excellent outcome of LCH is associated with single system involvement and worse outcome (reactivation or morality) is determined by multi-organ involvement</w:t>
      </w:r>
      <w:r>
        <w:rPr>
          <w:rFonts w:ascii="Times New Roman" w:eastAsia="Calibri" w:hAnsi="Times New Roman" w:cs="Times New Roman"/>
        </w:rPr>
        <w:t>, especially at a younger age</w:t>
      </w:r>
      <w:r w:rsidRPr="00D66AF1">
        <w:rPr>
          <w:rFonts w:asciiTheme="majorBidi" w:hAnsiTheme="majorBidi" w:cstheme="majorBidi"/>
        </w:rPr>
        <w:t xml:space="preserve"> (&lt; 24 months</w:t>
      </w:r>
      <w:r>
        <w:rPr>
          <w:rFonts w:ascii="Times New Roman" w:eastAsia="Calibri" w:hAnsi="Times New Roman" w:cs="Times New Roman"/>
        </w:rPr>
        <w:t xml:space="preserve">).  A </w:t>
      </w:r>
      <w:r w:rsidRPr="00D66AF1">
        <w:rPr>
          <w:rFonts w:asciiTheme="majorBidi" w:hAnsiTheme="majorBidi" w:cstheme="majorBidi"/>
        </w:rPr>
        <w:t xml:space="preserve">better understanding of </w:t>
      </w:r>
      <w:r w:rsidR="00FD2FF9">
        <w:rPr>
          <w:rFonts w:ascii="Times New Roman" w:eastAsia="Calibri" w:hAnsi="Times New Roman" w:cs="Times New Roman"/>
        </w:rPr>
        <w:t>pathophysiology</w:t>
      </w:r>
      <w:r>
        <w:rPr>
          <w:rFonts w:ascii="Times New Roman" w:eastAsia="Calibri" w:hAnsi="Times New Roman" w:cs="Times New Roman"/>
        </w:rPr>
        <w:t xml:space="preserve"> and genetic molecular background could lead to a striking transformation to novel therap</w:t>
      </w:r>
      <w:r w:rsidRPr="00D66AF1">
        <w:rPr>
          <w:rFonts w:asciiTheme="majorBidi" w:hAnsiTheme="majorBidi" w:cstheme="majorBidi"/>
        </w:rPr>
        <w:t>ies that warrant prospective clinical trial</w:t>
      </w:r>
      <w:r>
        <w:rPr>
          <w:rFonts w:ascii="Times New Roman" w:eastAsia="Calibri" w:hAnsi="Times New Roman" w:cs="Times New Roman"/>
        </w:rPr>
        <w:t>s.</w:t>
      </w:r>
      <w:r w:rsidR="00300112">
        <w:rPr>
          <w:rFonts w:asciiTheme="majorBidi" w:hAnsiTheme="majorBidi" w:cstheme="majorBidi"/>
        </w:rPr>
        <w:t xml:space="preserve"> </w:t>
      </w:r>
      <w:r w:rsidR="00C65603" w:rsidRPr="00C65603">
        <w:rPr>
          <w:rFonts w:asciiTheme="majorBidi" w:hAnsiTheme="majorBidi" w:cstheme="majorBidi"/>
        </w:rPr>
        <w:t xml:space="preserve">High mortality in patients with progressive disease </w:t>
      </w:r>
      <w:r w:rsidR="00300112" w:rsidRPr="00C65603">
        <w:rPr>
          <w:rFonts w:asciiTheme="majorBidi" w:hAnsiTheme="majorBidi" w:cstheme="majorBidi"/>
        </w:rPr>
        <w:t>demands</w:t>
      </w:r>
      <w:r w:rsidR="00C65603" w:rsidRPr="00C65603">
        <w:rPr>
          <w:rFonts w:asciiTheme="majorBidi" w:hAnsiTheme="majorBidi" w:cstheme="majorBidi"/>
        </w:rPr>
        <w:t xml:space="preserve"> earlier aggressive salvage.</w:t>
      </w:r>
      <w:r w:rsidR="00300112" w:rsidRPr="00300112">
        <w:t xml:space="preserve"> </w:t>
      </w:r>
      <w:r w:rsidR="00300112" w:rsidRPr="00300112">
        <w:rPr>
          <w:rFonts w:asciiTheme="majorBidi" w:hAnsiTheme="majorBidi" w:cstheme="majorBidi"/>
        </w:rPr>
        <w:t>Prospective clinical trials are required to</w:t>
      </w:r>
      <w:r w:rsidR="00300112">
        <w:rPr>
          <w:rFonts w:asciiTheme="majorBidi" w:hAnsiTheme="majorBidi" w:cstheme="majorBidi"/>
        </w:rPr>
        <w:t xml:space="preserve"> </w:t>
      </w:r>
      <w:r w:rsidR="00300112" w:rsidRPr="00300112">
        <w:rPr>
          <w:rFonts w:asciiTheme="majorBidi" w:hAnsiTheme="majorBidi" w:cstheme="majorBidi"/>
        </w:rPr>
        <w:t>improve treatment strategies in these subgroups</w:t>
      </w:r>
      <w:r w:rsidR="00300112">
        <w:rPr>
          <w:rFonts w:asciiTheme="majorBidi" w:hAnsiTheme="majorBidi" w:cstheme="majorBidi"/>
        </w:rPr>
        <w:t xml:space="preserve">. </w:t>
      </w:r>
    </w:p>
    <w:p w14:paraId="604A3431" w14:textId="0BAABDB8" w:rsidR="00B7002F" w:rsidRPr="00A24CB3" w:rsidRDefault="005E46C3" w:rsidP="00A24CB3">
      <w:pPr>
        <w:jc w:val="both"/>
        <w:rPr>
          <w:rFonts w:asciiTheme="majorBidi" w:hAnsiTheme="majorBidi" w:cstheme="majorBidi"/>
        </w:rPr>
      </w:pPr>
      <w:bookmarkStart w:id="1" w:name="word_counts"/>
      <w:r w:rsidRPr="00A24CB3">
        <w:rPr>
          <w:rFonts w:asciiTheme="majorBidi" w:hAnsiTheme="majorBidi" w:cstheme="majorBidi"/>
        </w:rPr>
        <w:t xml:space="preserve">Word count: </w:t>
      </w:r>
      <w:r w:rsidR="005D1C46" w:rsidRPr="00A24CB3">
        <w:rPr>
          <w:rFonts w:asciiTheme="majorBidi" w:hAnsiTheme="majorBidi" w:cstheme="majorBidi"/>
        </w:rPr>
        <w:t>4092</w:t>
      </w:r>
      <w:r w:rsidRPr="00A24CB3">
        <w:rPr>
          <w:rFonts w:asciiTheme="majorBidi" w:hAnsiTheme="majorBidi" w:cstheme="majorBidi"/>
        </w:rPr>
        <w:t xml:space="preserve"> words, excluding references.</w:t>
      </w:r>
      <w:bookmarkEnd w:id="1"/>
    </w:p>
    <w:p w14:paraId="504F2CB3" w14:textId="0E0FCE56" w:rsidR="005D1C46" w:rsidRPr="00A24CB3" w:rsidRDefault="005E46C3" w:rsidP="00A24CB3">
      <w:pPr>
        <w:jc w:val="both"/>
        <w:rPr>
          <w:rFonts w:asciiTheme="majorBidi" w:hAnsiTheme="majorBidi" w:cstheme="majorBidi"/>
        </w:rPr>
      </w:pPr>
      <w:bookmarkStart w:id="2" w:name="funding_statement"/>
      <w:r w:rsidRPr="00A24CB3">
        <w:rPr>
          <w:rFonts w:asciiTheme="majorBidi" w:hAnsiTheme="majorBidi" w:cstheme="majorBidi"/>
        </w:rPr>
        <w:t xml:space="preserve">Funding Statement: The study was </w:t>
      </w:r>
      <w:r w:rsidR="005D1C46" w:rsidRPr="00A24CB3">
        <w:rPr>
          <w:rFonts w:asciiTheme="majorBidi" w:hAnsiTheme="majorBidi" w:cstheme="majorBidi"/>
        </w:rPr>
        <w:t xml:space="preserve">not </w:t>
      </w:r>
      <w:r w:rsidRPr="00A24CB3">
        <w:rPr>
          <w:rFonts w:asciiTheme="majorBidi" w:hAnsiTheme="majorBidi" w:cstheme="majorBidi"/>
        </w:rPr>
        <w:t xml:space="preserve">supported by </w:t>
      </w:r>
      <w:r w:rsidR="00A24CB3" w:rsidRPr="00A24CB3">
        <w:rPr>
          <w:rFonts w:asciiTheme="majorBidi" w:hAnsiTheme="majorBidi" w:cstheme="majorBidi"/>
        </w:rPr>
        <w:t>a grant</w:t>
      </w:r>
      <w:r w:rsidRPr="00A24CB3">
        <w:rPr>
          <w:rFonts w:asciiTheme="majorBidi" w:hAnsiTheme="majorBidi" w:cstheme="majorBidi"/>
        </w:rPr>
        <w:t xml:space="preserve"> </w:t>
      </w:r>
      <w:r w:rsidR="005D1C46" w:rsidRPr="00A24CB3">
        <w:rPr>
          <w:rFonts w:asciiTheme="majorBidi" w:hAnsiTheme="majorBidi" w:cstheme="majorBidi"/>
        </w:rPr>
        <w:t xml:space="preserve">from any </w:t>
      </w:r>
      <w:r w:rsidR="00A24CB3" w:rsidRPr="00A24CB3">
        <w:rPr>
          <w:rFonts w:asciiTheme="majorBidi" w:hAnsiTheme="majorBidi" w:cstheme="majorBidi"/>
        </w:rPr>
        <w:t>institution</w:t>
      </w:r>
      <w:r w:rsidR="005D1C46" w:rsidRPr="00A24CB3">
        <w:rPr>
          <w:rFonts w:asciiTheme="majorBidi" w:hAnsiTheme="majorBidi" w:cstheme="majorBidi"/>
        </w:rPr>
        <w:t xml:space="preserve">. </w:t>
      </w:r>
    </w:p>
    <w:p w14:paraId="2211ADED" w14:textId="77777777" w:rsidR="00B7002F" w:rsidRPr="00A24CB3" w:rsidRDefault="005E46C3" w:rsidP="00A24CB3">
      <w:pPr>
        <w:jc w:val="both"/>
        <w:rPr>
          <w:rFonts w:asciiTheme="majorBidi" w:hAnsiTheme="majorBidi" w:cstheme="majorBidi"/>
        </w:rPr>
      </w:pPr>
      <w:bookmarkStart w:id="3" w:name="ethics_statement"/>
      <w:bookmarkEnd w:id="2"/>
      <w:r w:rsidRPr="00A24CB3">
        <w:rPr>
          <w:rFonts w:asciiTheme="majorBidi" w:hAnsiTheme="majorBidi" w:cstheme="majorBidi"/>
        </w:rPr>
        <w:t>Ethical Compliance: All procedures performed in studies involving human participants were in accordance with the ethical standards of the institutional and/or national research committee and with the 1964 Helsinki Declaration and its later amendments or comparable ethical standards.</w:t>
      </w:r>
      <w:bookmarkEnd w:id="3"/>
    </w:p>
    <w:p w14:paraId="0592903F" w14:textId="29BB65A7" w:rsidR="00B7002F" w:rsidRPr="00A24CB3" w:rsidRDefault="005E46C3" w:rsidP="00A24CB3">
      <w:pPr>
        <w:jc w:val="both"/>
        <w:rPr>
          <w:rFonts w:asciiTheme="majorBidi" w:hAnsiTheme="majorBidi" w:cstheme="majorBidi"/>
        </w:rPr>
      </w:pPr>
      <w:bookmarkStart w:id="4" w:name="data_access_statement"/>
      <w:r w:rsidRPr="00A24CB3">
        <w:rPr>
          <w:rFonts w:asciiTheme="majorBidi" w:hAnsiTheme="majorBidi" w:cstheme="majorBidi"/>
        </w:rPr>
        <w:t xml:space="preserve">Data Access Statement: Research data supporting this publication </w:t>
      </w:r>
      <w:r w:rsidR="00A24CB3" w:rsidRPr="00A24CB3">
        <w:rPr>
          <w:rFonts w:asciiTheme="majorBidi" w:hAnsiTheme="majorBidi" w:cstheme="majorBidi"/>
        </w:rPr>
        <w:t>is</w:t>
      </w:r>
      <w:r w:rsidRPr="00A24CB3">
        <w:rPr>
          <w:rFonts w:asciiTheme="majorBidi" w:hAnsiTheme="majorBidi" w:cstheme="majorBidi"/>
        </w:rPr>
        <w:t xml:space="preserve"> available from </w:t>
      </w:r>
      <w:bookmarkEnd w:id="4"/>
      <w:r w:rsidR="00A24CB3" w:rsidRPr="00A24CB3">
        <w:rPr>
          <w:rFonts w:asciiTheme="majorBidi" w:hAnsiTheme="majorBidi" w:cstheme="majorBidi"/>
        </w:rPr>
        <w:t>the corresponding</w:t>
      </w:r>
      <w:r w:rsidR="005D1C46" w:rsidRPr="00A24CB3">
        <w:rPr>
          <w:rFonts w:asciiTheme="majorBidi" w:hAnsiTheme="majorBidi" w:cstheme="majorBidi"/>
        </w:rPr>
        <w:t xml:space="preserve"> author. </w:t>
      </w:r>
    </w:p>
    <w:p w14:paraId="41F78D67" w14:textId="15F4F6B3" w:rsidR="00B7002F" w:rsidRPr="00A24CB3" w:rsidRDefault="005E46C3" w:rsidP="00A24CB3">
      <w:pPr>
        <w:jc w:val="both"/>
        <w:rPr>
          <w:rFonts w:asciiTheme="majorBidi" w:hAnsiTheme="majorBidi" w:cstheme="majorBidi"/>
        </w:rPr>
      </w:pPr>
      <w:bookmarkStart w:id="5" w:name="authors_contributions"/>
      <w:r w:rsidRPr="00A24CB3">
        <w:rPr>
          <w:rFonts w:asciiTheme="majorBidi" w:hAnsiTheme="majorBidi" w:cstheme="majorBidi"/>
        </w:rPr>
        <w:t xml:space="preserve">Author Contributions: </w:t>
      </w:r>
      <w:r w:rsidR="00BD745F" w:rsidRPr="00A24CB3">
        <w:rPr>
          <w:rFonts w:asciiTheme="majorBidi" w:hAnsiTheme="majorBidi" w:cstheme="majorBidi"/>
        </w:rPr>
        <w:t>AA</w:t>
      </w:r>
      <w:r w:rsidRPr="00A24CB3">
        <w:rPr>
          <w:rFonts w:asciiTheme="majorBidi" w:hAnsiTheme="majorBidi" w:cstheme="majorBidi"/>
        </w:rPr>
        <w:t xml:space="preserve"> and </w:t>
      </w:r>
      <w:r w:rsidR="00BD745F" w:rsidRPr="00A24CB3">
        <w:rPr>
          <w:rFonts w:asciiTheme="majorBidi" w:hAnsiTheme="majorBidi" w:cstheme="majorBidi"/>
        </w:rPr>
        <w:t>MS</w:t>
      </w:r>
      <w:r w:rsidRPr="00A24CB3">
        <w:rPr>
          <w:rFonts w:asciiTheme="majorBidi" w:hAnsiTheme="majorBidi" w:cstheme="majorBidi"/>
        </w:rPr>
        <w:t xml:space="preserve"> contributed to the design and implementation of the research, </w:t>
      </w:r>
      <w:r w:rsidR="00BD745F" w:rsidRPr="00A24CB3">
        <w:rPr>
          <w:rFonts w:asciiTheme="majorBidi" w:hAnsiTheme="majorBidi" w:cstheme="majorBidi"/>
        </w:rPr>
        <w:t>KA</w:t>
      </w:r>
      <w:r w:rsidRPr="00A24CB3">
        <w:rPr>
          <w:rFonts w:asciiTheme="majorBidi" w:hAnsiTheme="majorBidi" w:cstheme="majorBidi"/>
        </w:rPr>
        <w:t xml:space="preserve"> to the analysis of the results and to the writing of the manuscript. </w:t>
      </w:r>
      <w:r w:rsidR="00BD745F" w:rsidRPr="00A24CB3">
        <w:rPr>
          <w:rFonts w:asciiTheme="majorBidi" w:hAnsiTheme="majorBidi" w:cstheme="majorBidi"/>
        </w:rPr>
        <w:t>AB</w:t>
      </w:r>
      <w:r w:rsidRPr="00A24CB3">
        <w:rPr>
          <w:rFonts w:asciiTheme="majorBidi" w:hAnsiTheme="majorBidi" w:cstheme="majorBidi"/>
        </w:rPr>
        <w:t xml:space="preserve"> conceived the original and supervised the project.</w:t>
      </w:r>
      <w:bookmarkEnd w:id="5"/>
    </w:p>
    <w:p w14:paraId="1DC1A8DE" w14:textId="05148C54" w:rsidR="00CC47BC" w:rsidRPr="00A24CB3" w:rsidRDefault="005E46C3" w:rsidP="00A24CB3">
      <w:pPr>
        <w:autoSpaceDE w:val="0"/>
        <w:autoSpaceDN w:val="0"/>
        <w:adjustRightInd w:val="0"/>
        <w:jc w:val="both"/>
        <w:rPr>
          <w:rFonts w:asciiTheme="majorBidi" w:hAnsiTheme="majorBidi" w:cstheme="majorBidi"/>
        </w:rPr>
      </w:pPr>
      <w:r w:rsidRPr="00A24CB3">
        <w:rPr>
          <w:rFonts w:asciiTheme="majorBidi" w:hAnsiTheme="majorBidi" w:cstheme="majorBidi"/>
        </w:rPr>
        <w:t xml:space="preserve">Keywords: Survival, Pediatric, </w:t>
      </w:r>
      <w:r w:rsidR="00C65603" w:rsidRPr="00A24CB3">
        <w:rPr>
          <w:rFonts w:asciiTheme="majorBidi" w:hAnsiTheme="majorBidi" w:cstheme="majorBidi"/>
        </w:rPr>
        <w:t>Langerhans histiocytosis,</w:t>
      </w:r>
      <w:r w:rsidR="00300112" w:rsidRPr="00A24CB3">
        <w:rPr>
          <w:rFonts w:asciiTheme="majorBidi" w:hAnsiTheme="majorBidi" w:cstheme="majorBidi"/>
        </w:rPr>
        <w:t xml:space="preserve"> Multi-system LCH, Single-system LCH</w:t>
      </w:r>
    </w:p>
    <w:p w14:paraId="26FD231B" w14:textId="77777777" w:rsidR="00A24CB3" w:rsidRDefault="00A24CB3" w:rsidP="00A24CB3">
      <w:pPr>
        <w:autoSpaceDE w:val="0"/>
        <w:autoSpaceDN w:val="0"/>
        <w:adjustRightInd w:val="0"/>
        <w:jc w:val="both"/>
        <w:rPr>
          <w:rFonts w:asciiTheme="majorBidi" w:hAnsiTheme="majorBidi" w:cstheme="majorBidi"/>
          <w:i/>
          <w:iCs/>
        </w:rPr>
      </w:pPr>
    </w:p>
    <w:p w14:paraId="09E7D724" w14:textId="77777777" w:rsidR="00A24CB3" w:rsidRDefault="00A24CB3" w:rsidP="00A24CB3">
      <w:pPr>
        <w:autoSpaceDE w:val="0"/>
        <w:autoSpaceDN w:val="0"/>
        <w:adjustRightInd w:val="0"/>
        <w:jc w:val="both"/>
        <w:rPr>
          <w:rFonts w:asciiTheme="majorBidi" w:hAnsiTheme="majorBidi" w:cstheme="majorBidi"/>
          <w:i/>
          <w:iCs/>
        </w:rPr>
      </w:pPr>
    </w:p>
    <w:p w14:paraId="7CB98137" w14:textId="77777777" w:rsidR="00A24CB3" w:rsidRDefault="00A24CB3" w:rsidP="00A24CB3">
      <w:pPr>
        <w:autoSpaceDE w:val="0"/>
        <w:autoSpaceDN w:val="0"/>
        <w:adjustRightInd w:val="0"/>
        <w:jc w:val="both"/>
        <w:rPr>
          <w:rFonts w:asciiTheme="majorBidi" w:hAnsiTheme="majorBidi" w:cstheme="majorBidi"/>
          <w:i/>
          <w:iCs/>
        </w:rPr>
      </w:pPr>
    </w:p>
    <w:p w14:paraId="3B135E1D" w14:textId="77777777" w:rsidR="00A24CB3" w:rsidRDefault="00A24CB3" w:rsidP="00A24CB3">
      <w:pPr>
        <w:autoSpaceDE w:val="0"/>
        <w:autoSpaceDN w:val="0"/>
        <w:adjustRightInd w:val="0"/>
        <w:jc w:val="both"/>
        <w:rPr>
          <w:rFonts w:asciiTheme="majorBidi" w:hAnsiTheme="majorBidi" w:cstheme="majorBidi"/>
          <w:i/>
          <w:iCs/>
        </w:rPr>
      </w:pPr>
    </w:p>
    <w:p w14:paraId="4D24FAC6" w14:textId="77777777" w:rsidR="00A24CB3" w:rsidRDefault="00A24CB3" w:rsidP="00A24CB3">
      <w:pPr>
        <w:autoSpaceDE w:val="0"/>
        <w:autoSpaceDN w:val="0"/>
        <w:adjustRightInd w:val="0"/>
        <w:jc w:val="both"/>
        <w:rPr>
          <w:rFonts w:asciiTheme="majorBidi" w:hAnsiTheme="majorBidi" w:cstheme="majorBidi"/>
          <w:i/>
          <w:iCs/>
        </w:rPr>
      </w:pPr>
    </w:p>
    <w:p w14:paraId="2CD57F2C" w14:textId="77777777" w:rsidR="00A24CB3" w:rsidRPr="00A24CB3" w:rsidRDefault="00A24CB3" w:rsidP="00A24CB3">
      <w:pPr>
        <w:autoSpaceDE w:val="0"/>
        <w:autoSpaceDN w:val="0"/>
        <w:adjustRightInd w:val="0"/>
        <w:jc w:val="both"/>
        <w:rPr>
          <w:rFonts w:asciiTheme="majorBidi" w:hAnsiTheme="majorBidi" w:cstheme="majorBidi"/>
          <w:i/>
          <w:iCs/>
        </w:rPr>
      </w:pPr>
    </w:p>
    <w:p w14:paraId="29781D0C" w14:textId="77777777" w:rsidR="00CC47BC" w:rsidRDefault="00CC47BC" w:rsidP="00CC47BC">
      <w:pPr>
        <w:autoSpaceDE w:val="0"/>
        <w:autoSpaceDN w:val="0"/>
        <w:adjustRightInd w:val="0"/>
        <w:jc w:val="both"/>
        <w:rPr>
          <w:rFonts w:asciiTheme="majorBidi" w:hAnsiTheme="majorBidi" w:cstheme="majorBidi"/>
          <w:i/>
          <w:iCs/>
        </w:rPr>
      </w:pPr>
    </w:p>
    <w:p w14:paraId="7FFF2B60" w14:textId="77777777" w:rsidR="00CC47BC" w:rsidRPr="00655966" w:rsidRDefault="00CC47BC" w:rsidP="00CC47BC">
      <w:pPr>
        <w:spacing w:after="160"/>
        <w:jc w:val="both"/>
        <w:rPr>
          <w:rFonts w:asciiTheme="majorBidi" w:hAnsiTheme="majorBidi" w:cstheme="majorBidi"/>
          <w:i/>
          <w:iCs/>
        </w:rPr>
      </w:pPr>
    </w:p>
    <w:p w14:paraId="2AA90AD5" w14:textId="5AFE6695" w:rsidR="00CC47BC" w:rsidRPr="00C65603" w:rsidRDefault="005E46C3" w:rsidP="00CC47BC">
      <w:pPr>
        <w:pStyle w:val="ListParagraph"/>
        <w:numPr>
          <w:ilvl w:val="0"/>
          <w:numId w:val="1"/>
        </w:numPr>
        <w:spacing w:after="160" w:line="276" w:lineRule="auto"/>
        <w:ind w:left="284"/>
        <w:jc w:val="both"/>
        <w:rPr>
          <w:rFonts w:asciiTheme="majorBidi" w:hAnsiTheme="majorBidi" w:cstheme="majorBidi"/>
          <w:b/>
          <w:bCs/>
        </w:rPr>
      </w:pPr>
      <w:bookmarkStart w:id="6" w:name="_Ref151706866"/>
      <w:r w:rsidRPr="00C65603">
        <w:rPr>
          <w:rFonts w:asciiTheme="majorBidi" w:hAnsiTheme="majorBidi" w:cstheme="majorBidi"/>
          <w:b/>
          <w:bCs/>
        </w:rPr>
        <w:lastRenderedPageBreak/>
        <w:t>Introduction</w:t>
      </w:r>
      <w:bookmarkEnd w:id="6"/>
      <w:r w:rsidRPr="00C65603">
        <w:rPr>
          <w:rFonts w:asciiTheme="majorBidi" w:hAnsiTheme="majorBidi" w:cstheme="majorBidi"/>
          <w:b/>
          <w:bCs/>
        </w:rPr>
        <w:t xml:space="preserve"> </w:t>
      </w:r>
    </w:p>
    <w:p w14:paraId="054AA87F" w14:textId="3D4FEB85" w:rsidR="00A20882" w:rsidRPr="00CC47BC" w:rsidRDefault="005E46C3" w:rsidP="00CC47BC">
      <w:pPr>
        <w:jc w:val="both"/>
        <w:rPr>
          <w:rFonts w:asciiTheme="majorBidi" w:hAnsiTheme="majorBidi" w:cstheme="majorBidi"/>
        </w:rPr>
      </w:pPr>
      <w:r w:rsidRPr="00CC47BC">
        <w:rPr>
          <w:rFonts w:asciiTheme="majorBidi" w:hAnsiTheme="majorBidi" w:cstheme="majorBidi"/>
        </w:rPr>
        <w:t>Langerhans cell histiocytosis (LCH) is a rare disorder characterized by reactive clonal proliferation and accumulation of dendritic cells</w:t>
      </w:r>
      <w:r>
        <w:rPr>
          <w:rFonts w:ascii="Times New Roman" w:eastAsia="Calibri" w:hAnsi="Times New Roman" w:cs="Times New Roman"/>
        </w:rPr>
        <w:t xml:space="preserve">, with a wide range of clinical presentations ranging from a self-healing unifocal single system involvement to a fatal multisystem disease involving the lungs, liver, spleen, and </w:t>
      </w:r>
      <w:r w:rsidRPr="00CC47BC">
        <w:rPr>
          <w:rFonts w:asciiTheme="majorBidi" w:hAnsiTheme="majorBidi" w:cstheme="majorBidi"/>
        </w:rPr>
        <w:t>hematopoietic system</w:t>
      </w:r>
      <w:r w:rsidR="00D87B20">
        <w:rPr>
          <w:rFonts w:asciiTheme="majorBidi" w:hAnsiTheme="majorBidi" w:cstheme="majorBidi"/>
        </w:rPr>
        <w:t xml:space="preserve"> </w:t>
      </w:r>
      <w:r w:rsidR="00D87B20">
        <w:rPr>
          <w:rFonts w:asciiTheme="majorBidi" w:hAnsiTheme="majorBidi" w:cstheme="majorBidi"/>
        </w:rPr>
        <w:fldChar w:fldCharType="begin" w:fldLock="1"/>
      </w:r>
      <w:r w:rsidR="00D87B20">
        <w:rPr>
          <w:rFonts w:asciiTheme="majorBidi" w:hAnsiTheme="majorBidi" w:cstheme="majorBidi"/>
        </w:rPr>
        <w:instrText>ADDIN CSL_CITATION {"citationItems":[{"id":"ITEM-1","itemData":{"DOI":"10.1016/j.ctrv.2010.02.012","ISSN":"03057372","PMID":"20188480","abstract":"Langerhans cell histiocytosis (LCH) is a rare proliferative disorder of cells with the phenotype of activated Langerhans cells. The diagnosis of LCH is often delayed or missed. Many questions about LCH remain to be answered, including whether it is caused by a malignancy or by immune dysregulation. Data from the early 1990s showed that LCH consisted of an accumulation of monoclonal LCH cells, suggesting a neoplastic disorder. However, further investigations with current sophisticated techniques have not shown consistent genomic aberrations. Recent data which suggests a role for an IL-17A dependant pathway of dendritic cell fusion in LCH remains to be proven. The most recent data taken together swing the pendulum towards an immunologic aberration.The clinical course of LCH is highly variable, ranging from a self-healing solitary bone lesion to widely disseminated life-threatening disease. Patients with multisystem (MS) disease with organ dysfunction, particularly those refractory to front line therapy, and those with multiple reactivations of disease associated with significant permanent sequelae represent the greatest challenge. Early switch of refractory patients to salvage therapies has contributed to the improvement in survival of MS-LCH patients. Due to the rarity of LCH in children and adults, patients must be enrolled on multi-national clinical trials, whenever possible, to advance our knowledge of the optimal therapeutic strategies and long-term outcomes. © 2010.","author":[{"dropping-particle":"","family":"Abla","given":"Oussama","non-dropping-particle":"","parse-names":false,"suffix":""},{"dropping-particle":"","family":"Egeler","given":"R. Maarten","non-dropping-particle":"","parse-names":false,"suffix":""},{"dropping-particle":"","family":"Weitzman","given":"Sheila","non-dropping-particle":"","parse-names":false,"suffix":""}],"container-title":"Cancer Treatment Reviews","id":"ITEM-1","issue":"4","issued":{"date-parts":[["2010"]]},"page":"354-9","title":"Langerhans cell histiocytosis: Current concepts and treatments","type":"article-journal","volume":"36"},"uris":["http://www.mendeley.com/documents/?uuid=451de3df-4018-4d2f-ac46-08b77a442dfd"]},{"id":"ITEM-2","itemData":{"DOI":"10.1002/pbc.10463","ISSN":"15455009","PMID":"15049008","author":[{"dropping-particle":"","family":"Nezelof","given":"Christian","non-dropping-particle":"","parse-names":false,"suffix":""},{"dropping-particle":"","family":"Basset","given":"Françoise","non-dropping-particle":"","parse-names":false,"suffix":""}],"container-title":"Pediatric Blood and Cancer","id":"ITEM-2","issue":"5","issued":{"date-parts":[["2004"]]},"page":"398-400","title":"An Hypothesis Langerhans Cell Histiocytosis: The Failure of the Immune System to Switch from an Innate to an Adaptive Mode","type":"article-journal","volume":"42"},"uris":["http://www.mendeley.com/documents/?uuid=2380e348-43ce-4a6e-b2a8-46d412537567"]}],"mendeley":{"formattedCitation":"(Abla et al., 2010; Nezelof &amp; Basset, 2004)","plainTextFormattedCitation":"(Abla et al., 2010; Nezelof &amp; Basset, 2004)","previouslyFormattedCitation":"(Abla et al., 2010; Nezelof &amp; Basset, 2004)"},"properties":{"noteIndex":0},"schema":"https://github.com/citation-style-language/schema/raw/master/csl-citation.json"}</w:instrText>
      </w:r>
      <w:r w:rsidR="00D87B20">
        <w:rPr>
          <w:rFonts w:asciiTheme="majorBidi" w:hAnsiTheme="majorBidi" w:cstheme="majorBidi"/>
        </w:rPr>
        <w:fldChar w:fldCharType="separate"/>
      </w:r>
      <w:r w:rsidR="00D87B20" w:rsidRPr="00D87B20">
        <w:rPr>
          <w:rFonts w:asciiTheme="majorBidi" w:hAnsiTheme="majorBidi" w:cstheme="majorBidi"/>
          <w:noProof/>
        </w:rPr>
        <w:t>(Abla et al., 2010; Nezelof &amp; Basset, 2004)</w:t>
      </w:r>
      <w:r w:rsidR="00D87B20">
        <w:rPr>
          <w:rFonts w:asciiTheme="majorBidi" w:hAnsiTheme="majorBidi" w:cstheme="majorBidi"/>
        </w:rPr>
        <w:fldChar w:fldCharType="end"/>
      </w:r>
      <w:r w:rsidRPr="00CC47BC">
        <w:rPr>
          <w:rFonts w:asciiTheme="majorBidi" w:hAnsiTheme="majorBidi" w:cstheme="majorBidi"/>
        </w:rPr>
        <w:t xml:space="preserve">. The etiology of LCH remains unclear. Consistent data on incidence are difficult to obtain, </w:t>
      </w:r>
      <w:r>
        <w:rPr>
          <w:rFonts w:ascii="Times New Roman" w:eastAsia="Calibri" w:hAnsi="Times New Roman" w:cs="Times New Roman"/>
        </w:rPr>
        <w:t>and only a few international and regional reports and studies o</w:t>
      </w:r>
      <w:r w:rsidRPr="00CC47BC">
        <w:rPr>
          <w:rFonts w:asciiTheme="majorBidi" w:hAnsiTheme="majorBidi" w:cstheme="majorBidi"/>
        </w:rPr>
        <w:t>n the disease have been reported</w:t>
      </w:r>
      <w:r w:rsidR="00CC47BC" w:rsidRPr="00CC47BC">
        <w:rPr>
          <w:rFonts w:asciiTheme="majorBidi" w:hAnsiTheme="majorBidi" w:cstheme="majorBidi"/>
        </w:rPr>
        <w:t xml:space="preserve"> </w:t>
      </w:r>
      <w:r w:rsidR="00CC47BC" w:rsidRPr="00CC47BC">
        <w:rPr>
          <w:rFonts w:asciiTheme="majorBidi" w:hAnsiTheme="majorBidi" w:cstheme="majorBidi"/>
        </w:rPr>
        <w:fldChar w:fldCharType="begin" w:fldLock="1"/>
      </w:r>
      <w:r w:rsidR="00CC47BC" w:rsidRPr="00CC47BC">
        <w:rPr>
          <w:rFonts w:asciiTheme="majorBidi" w:hAnsiTheme="majorBidi" w:cstheme="majorBidi"/>
        </w:rPr>
        <w:instrText>ADDIN CSL_CITATION {"citationItems":[{"id":"ITEM-1","itemData":{"DOI":"10.1016/0959-8049(95)00091-7","ISSN":"09598049","PMID":"7646935","abstract":"Since 1980, a nationwide registry of childhood malignancies has been established in the Federal Republic of Germany. The registry combines features of a population-based and a hospital-based registry. Basic registry data are complemented and validated by data from all ongoing clinical trials in paediatric oncology. Descriptive analyses are presented for the first 13 years of operation of the registry. In addition, time trends and regional variations of incidence within the Federal Republic of Germany are shown. A brief description of completed and ongoing registry-based epidemiological studies is given. © 1995.","author":[{"dropping-particle":"","family":"Kaatsch","given":"P.","non-dropping-particle":"","parse-names":false,"suffix":""},{"dropping-particle":"","family":"Haaf","given":"G.","non-dropping-particle":"","parse-names":false,"suffix":""},{"dropping-particle":"","family":"Michaelis","given":"J.","non-dropping-particle":"","parse-names":false,"suffix":""}],"container-title":"European Journal of Cancer","id":"ITEM-1","issue":"6","issued":{"date-parts":[["1995"]]},"page":"993-9","title":"Childhood malignancies in Germany-methods and results of a nationwide registry","type":"article-journal","volume":"31a"},"uris":["http://www.mendeley.com/documents/?uuid=046c0a41-609d-457e-9712-c026785b2bc8"]},{"id":"ITEM-2","itemData":{"DOI":"10.1054/bjoc.2000.1313","ISSN":"00070920","PMID":"10917558","abstract":"The Northern Region Young Persons' Malignant Disease Registry records information on young people under 25 years old diagnosed with cancer in the Northern Region of England. Incidence and survival rates were calculated for children and young adults diagnosed with cancer between 1968 and 1995. There were 2099 (M:F 1.28:1) children (age 0-14 years) and 2217 (M:F 1.23:1) young adults (15-24 years) diagnosed with a first cancer between 1968 and 1995. The age-standardized rate (ASR) for childhood cancer was 121 per million 0 to 14 year-olds per year. For young adults the ASR was 175 per million 15 to 24 year-olds, per year. Incidence of childhood cancer increased over time at a rate of 12 extra cases per million children, per decade (P &lt; 0.001). In young adults incidence rates increased by 16 extra cases per million 15 to 24 year-olds, per decade (P &lt; 0.001). For childhood cancer 5-year survival was 42% for those diagnosed 1968-1977, 57% for 1978-1987 and 71% (95% CI 67-75) for 1988-1995. Survival for young adults over the three periods was 45%, 62% and 73% (95% CI 70-78) respectively. The cumulative risk of developing cancer before the age of 25 is 1 in 285. Over the 28-year period there were significant improvements in survival and modest increases in incidence in both children and young adults. (C) 2000 Cancer Research Campaign.","author":[{"dropping-particle":"","family":"Cotterill","given":"S. J.","non-dropping-particle":"","parse-names":false,"suffix":""},{"dropping-particle":"","family":"Parker","given":"L.","non-dropping-particle":"","parse-names":false,"suffix":""},{"dropping-particle":"","family":"Malcolm","given":"A. J.","non-dropping-particle":"","parse-names":false,"suffix":""},{"dropping-particle":"","family":"Reid","given":"M.","non-dropping-particle":"","parse-names":false,"suffix":""},{"dropping-particle":"","family":"More","given":"L.","non-dropping-particle":"","parse-names":false,"suffix":""},{"dropping-particle":"","family":"Craft","given":"A. W.","non-dropping-particle":"","parse-names":false,"suffix":""}],"container-title":"British Journal of Cancer","id":"ITEM-2","issue":"3","issued":{"date-parts":[["2000"]]},"page":"397-403","title":"Incidence and survival for cancer in children and young adults in the North of England, 1968-1995: A report from the Northern Region Young Persons' Malignant Disease Registry","type":"article-journal","volume":"83"},"uris":["http://www.mendeley.com/documents/?uuid=2c4f1895-d9ce-4671-8481-0e65807a0be1"]}],"mendeley":{"formattedCitation":"(Cotterill et al., 2000; Kaatsch et al., 1995)","plainTextFormattedCitation":"(Cotterill et al., 2000; Kaatsch et al., 1995)","previouslyFormattedCitation":"(Cotterill et al., 2000; Kaatsch et al., 1995)"},"properties":{"noteIndex":0},"schema":"https://github.com/citation-style-language/schema/raw/master/csl-citation.json"}</w:instrText>
      </w:r>
      <w:r w:rsidR="00CC47BC" w:rsidRPr="00CC47BC">
        <w:rPr>
          <w:rFonts w:asciiTheme="majorBidi" w:hAnsiTheme="majorBidi" w:cstheme="majorBidi"/>
        </w:rPr>
        <w:fldChar w:fldCharType="separate"/>
      </w:r>
      <w:r w:rsidR="00CC47BC" w:rsidRPr="00CC47BC">
        <w:rPr>
          <w:rFonts w:asciiTheme="majorBidi" w:hAnsiTheme="majorBidi" w:cstheme="majorBidi"/>
          <w:noProof/>
        </w:rPr>
        <w:t>(Cotterill et al., 2000; Kaatsch et al., 1995)</w:t>
      </w:r>
      <w:r w:rsidR="00CC47BC" w:rsidRPr="00CC47BC">
        <w:rPr>
          <w:rFonts w:asciiTheme="majorBidi" w:hAnsiTheme="majorBidi" w:cstheme="majorBidi"/>
        </w:rPr>
        <w:fldChar w:fldCharType="end"/>
      </w:r>
      <w:r w:rsidRPr="00CC47BC">
        <w:rPr>
          <w:rFonts w:asciiTheme="majorBidi" w:hAnsiTheme="majorBidi" w:cstheme="majorBidi"/>
        </w:rPr>
        <w:t xml:space="preserve">. For single bone lesions, </w:t>
      </w:r>
      <w:r w:rsidR="001725D2" w:rsidRPr="00CC47BC">
        <w:rPr>
          <w:rFonts w:asciiTheme="majorBidi" w:hAnsiTheme="majorBidi" w:cstheme="majorBidi"/>
        </w:rPr>
        <w:t>biopsy,</w:t>
      </w:r>
      <w:r w:rsidRPr="00CC47BC">
        <w:rPr>
          <w:rFonts w:asciiTheme="majorBidi" w:hAnsiTheme="majorBidi" w:cstheme="majorBidi"/>
        </w:rPr>
        <w:t xml:space="preserve"> or curettage at the time of diagnosis is sufficient for treatment. If surgical excision is not feasible or </w:t>
      </w:r>
      <w:r>
        <w:rPr>
          <w:rFonts w:ascii="Times New Roman" w:eastAsia="Calibri" w:hAnsi="Times New Roman" w:cs="Times New Roman"/>
        </w:rPr>
        <w:t>there is multisystem disease involvement, other treatment modalities, such as chemotherapy or radiotherapy, are required</w:t>
      </w:r>
      <w:r w:rsidR="00CC47BC" w:rsidRPr="00CC47BC">
        <w:rPr>
          <w:rFonts w:asciiTheme="majorBidi" w:hAnsiTheme="majorBidi" w:cstheme="majorBidi"/>
        </w:rPr>
        <w:t xml:space="preserve"> </w:t>
      </w:r>
      <w:r w:rsidR="00CC47BC" w:rsidRPr="00CC47BC">
        <w:rPr>
          <w:rFonts w:asciiTheme="majorBidi" w:hAnsiTheme="majorBidi" w:cstheme="majorBidi"/>
        </w:rPr>
        <w:fldChar w:fldCharType="begin" w:fldLock="1"/>
      </w:r>
      <w:r w:rsidR="00D87B20">
        <w:rPr>
          <w:rFonts w:asciiTheme="majorBidi" w:hAnsiTheme="majorBidi" w:cstheme="majorBidi"/>
        </w:rPr>
        <w:instrText>ADDIN CSL_CITATION {"citationItems":[{"id":"ITEM-1","itemData":{"ISSN":"00070920","PMID":"8075001","abstract":"Langerhans cell histiocytosis is a disease which frustrates both clinician and scientist. Its aetiology is unknown, its pathogenesis is ill understood and the clinical course is unpredictable. Historically, the different nomenclatures reflecting the first clinical descriptions by Hand (1893, 1921), Schuller (1915) and Christian (1920), and subsequently by Letterer (1924) and Siwe (1933), led to confusion only partially resolved by Lichtenstein (1953) who recognised that the disease in each of these clinical syndromes were components of a spectrum of disease involving the histiocyte. He proposed his unifying concept of Histiocytosis X - 'X' being the unknown aetiological factor. In 1973, Nezelof recognised the lesional cell as a 'Langerhans-like' cell but it took another decade for the disease to be recognised as a single entity and the term Langerhans cell histiocytosis to be internationally accepted. The publication, by the Histiocyte Society (1987), of their classification of the histiocyte disorders together with criteria for pathological diagnosis and clinical evaluation of Langerhans cell histiocytosis have consolidated the position. This article details the wide variety of clinical manifestations of the disease and its sequelae and discusses possible epidemiological factors. Finally it looks at the potential implications of recent scientific research on the management of the disease.","author":[{"dropping-particle":"","family":"Broadbent","given":"V.","non-dropping-particle":"","parse-names":false,"suffix":""},{"dropping-particle":"","family":"Egeler","given":"R. M.","non-dropping-particle":"","parse-names":false,"suffix":""},{"dropping-particle":"","family":"Nesbit","given":"M. E.","non-dropping-particle":"","parse-names":false,"suffix":""}],"container-title":"British Journal of Cancer","id":"ITEM-1","issued":{"date-parts":[["1994"]]},"page":"S11-6","title":"Langerhans cell histiocytosis - clinical and epidemiological aspects","type":"article-journal","volume":"33"},"uris":["http://www.mendeley.com/documents/?uuid=a597b365-9f1e-4339-813b-439af51d2ba5"]}],"mendeley":{"formattedCitation":"(Broadbent et al., 1994)","plainTextFormattedCitation":"(Broadbent et al., 1994)","previouslyFormattedCitation":"(Broadbent et al., 1994)"},"properties":{"noteIndex":0},"schema":"https://github.com/citation-style-language/schema/raw/master/csl-citation.json"}</w:instrText>
      </w:r>
      <w:r w:rsidR="00CC47BC" w:rsidRPr="00CC47BC">
        <w:rPr>
          <w:rFonts w:asciiTheme="majorBidi" w:hAnsiTheme="majorBidi" w:cstheme="majorBidi"/>
        </w:rPr>
        <w:fldChar w:fldCharType="separate"/>
      </w:r>
      <w:r w:rsidR="00CC47BC" w:rsidRPr="00CC47BC">
        <w:rPr>
          <w:rFonts w:asciiTheme="majorBidi" w:hAnsiTheme="majorBidi" w:cstheme="majorBidi"/>
          <w:noProof/>
        </w:rPr>
        <w:t>(Broadbent et al., 1994)</w:t>
      </w:r>
      <w:r w:rsidR="00CC47BC" w:rsidRPr="00CC47BC">
        <w:rPr>
          <w:rFonts w:asciiTheme="majorBidi" w:hAnsiTheme="majorBidi" w:cstheme="majorBidi"/>
        </w:rPr>
        <w:fldChar w:fldCharType="end"/>
      </w:r>
      <w:r w:rsidRPr="00CC47BC">
        <w:rPr>
          <w:rFonts w:asciiTheme="majorBidi" w:hAnsiTheme="majorBidi" w:cstheme="majorBidi"/>
        </w:rPr>
        <w:t>.</w:t>
      </w:r>
    </w:p>
    <w:p w14:paraId="786BCA22" w14:textId="33FB1E4C" w:rsidR="00A20882" w:rsidRDefault="005E46C3" w:rsidP="00CC47BC">
      <w:pPr>
        <w:jc w:val="both"/>
        <w:rPr>
          <w:rFonts w:asciiTheme="majorBidi" w:hAnsiTheme="majorBidi" w:cstheme="majorBidi"/>
        </w:rPr>
      </w:pPr>
      <w:r w:rsidRPr="00CC47BC">
        <w:rPr>
          <w:rFonts w:asciiTheme="majorBidi" w:hAnsiTheme="majorBidi" w:cstheme="majorBidi"/>
        </w:rPr>
        <w:t>Due to the heterogeneity of the clinical presentations of LCH among the pediatric age group and the need to determine the proper therapy to prevent recurrence and progression, we aimed to evaluate the clinical presentations, frequency of disease reactivation, prognostic factors, treatment outcome</w:t>
      </w:r>
      <w:r>
        <w:rPr>
          <w:rFonts w:ascii="Times New Roman" w:eastAsia="Calibri" w:hAnsi="Times New Roman" w:cs="Times New Roman"/>
        </w:rPr>
        <w:t xml:space="preserve">s, and </w:t>
      </w:r>
      <w:r w:rsidRPr="00CC47BC">
        <w:rPr>
          <w:rFonts w:asciiTheme="majorBidi" w:hAnsiTheme="majorBidi" w:cstheme="majorBidi"/>
        </w:rPr>
        <w:t>sequelae of this disorder among Saudi children during a 20-year period.</w:t>
      </w:r>
    </w:p>
    <w:p w14:paraId="09D211B8" w14:textId="77777777" w:rsidR="00CC47BC" w:rsidRDefault="00CC47BC" w:rsidP="00CC47BC">
      <w:pPr>
        <w:jc w:val="both"/>
        <w:rPr>
          <w:rFonts w:asciiTheme="majorBidi" w:hAnsiTheme="majorBidi" w:cstheme="majorBidi"/>
        </w:rPr>
      </w:pPr>
    </w:p>
    <w:p w14:paraId="75FF915B" w14:textId="77777777" w:rsidR="000E3A2C" w:rsidRDefault="000E3A2C" w:rsidP="00CC47BC">
      <w:pPr>
        <w:jc w:val="both"/>
        <w:rPr>
          <w:rFonts w:asciiTheme="majorBidi" w:hAnsiTheme="majorBidi" w:cstheme="majorBidi"/>
        </w:rPr>
      </w:pPr>
    </w:p>
    <w:p w14:paraId="687841F3" w14:textId="77777777" w:rsidR="000E3A2C" w:rsidRDefault="000E3A2C" w:rsidP="00CC47BC">
      <w:pPr>
        <w:jc w:val="both"/>
        <w:rPr>
          <w:rFonts w:asciiTheme="majorBidi" w:hAnsiTheme="majorBidi" w:cstheme="majorBidi"/>
        </w:rPr>
      </w:pPr>
    </w:p>
    <w:p w14:paraId="6886E4B6" w14:textId="77777777" w:rsidR="000E3A2C" w:rsidRDefault="000E3A2C" w:rsidP="00CC47BC">
      <w:pPr>
        <w:jc w:val="both"/>
        <w:rPr>
          <w:rFonts w:asciiTheme="majorBidi" w:hAnsiTheme="majorBidi" w:cstheme="majorBidi"/>
        </w:rPr>
      </w:pPr>
    </w:p>
    <w:p w14:paraId="01992332" w14:textId="69DCB9EF" w:rsidR="00CC47BC" w:rsidRPr="00D14DAA" w:rsidRDefault="005E46C3" w:rsidP="00CC47BC">
      <w:pPr>
        <w:pStyle w:val="ListParagraph"/>
        <w:numPr>
          <w:ilvl w:val="0"/>
          <w:numId w:val="1"/>
        </w:numPr>
        <w:spacing w:after="160" w:line="480" w:lineRule="auto"/>
        <w:ind w:left="284"/>
        <w:jc w:val="both"/>
        <w:rPr>
          <w:rFonts w:asciiTheme="majorBidi" w:hAnsiTheme="majorBidi" w:cstheme="majorBidi"/>
        </w:rPr>
      </w:pPr>
      <w:r w:rsidRPr="00D14DAA">
        <w:rPr>
          <w:rFonts w:asciiTheme="majorBidi" w:hAnsiTheme="majorBidi" w:cstheme="majorBidi"/>
          <w:b/>
          <w:bCs/>
          <w:i/>
          <w:iCs/>
        </w:rPr>
        <w:t>M</w:t>
      </w:r>
      <w:r>
        <w:rPr>
          <w:rFonts w:asciiTheme="majorBidi" w:hAnsiTheme="majorBidi" w:cstheme="majorBidi"/>
          <w:b/>
          <w:bCs/>
          <w:i/>
          <w:iCs/>
        </w:rPr>
        <w:t>ethodology</w:t>
      </w:r>
    </w:p>
    <w:p w14:paraId="6AE7E531" w14:textId="4E445D81" w:rsidR="00CC47BC" w:rsidRDefault="005E46C3" w:rsidP="00CC47BC">
      <w:pPr>
        <w:spacing w:after="160"/>
        <w:ind w:firstLine="720"/>
        <w:jc w:val="both"/>
        <w:rPr>
          <w:rFonts w:asciiTheme="majorBidi" w:hAnsiTheme="majorBidi" w:cstheme="majorBidi"/>
        </w:rPr>
      </w:pPr>
      <w:r w:rsidRPr="00D66AF1">
        <w:rPr>
          <w:rFonts w:asciiTheme="majorBidi" w:hAnsiTheme="majorBidi" w:cstheme="majorBidi"/>
        </w:rPr>
        <w:t xml:space="preserve">Through a descriptive record-based study design, all pediatric patients aged 0–14 years who had been diagnosed and treated for LCH at </w:t>
      </w:r>
      <w:r>
        <w:rPr>
          <w:rFonts w:ascii="Times New Roman" w:eastAsia="Calibri" w:hAnsi="Times New Roman" w:cs="Times New Roman"/>
        </w:rPr>
        <w:t xml:space="preserve">the Princess Norah Oncology Center (PNOC), King Abdelaziz Medical City, Jeddah, </w:t>
      </w:r>
      <w:r w:rsidRPr="00D66AF1">
        <w:rPr>
          <w:rFonts w:asciiTheme="majorBidi" w:hAnsiTheme="majorBidi" w:cstheme="majorBidi"/>
        </w:rPr>
        <w:t>between January 2000 and December 2019 were eligible for inclusion in the study (n=33). The researchers reviewed the medical records and electronic files of the</w:t>
      </w:r>
      <w:r>
        <w:rPr>
          <w:rFonts w:ascii="Times New Roman" w:eastAsia="Calibri" w:hAnsi="Times New Roman" w:cs="Times New Roman"/>
        </w:rPr>
        <w:t xml:space="preserve">se </w:t>
      </w:r>
      <w:r w:rsidRPr="00D66AF1">
        <w:rPr>
          <w:rFonts w:asciiTheme="majorBidi" w:hAnsiTheme="majorBidi" w:cstheme="majorBidi"/>
        </w:rPr>
        <w:t>patients. SPSS ver</w:t>
      </w:r>
      <w:r>
        <w:rPr>
          <w:rFonts w:ascii="Times New Roman" w:eastAsia="Calibri" w:hAnsi="Times New Roman" w:cs="Times New Roman"/>
        </w:rPr>
        <w:t xml:space="preserve">sion 24 was used for data analysis, Chi square was used </w:t>
      </w:r>
      <w:r w:rsidRPr="00D66AF1">
        <w:rPr>
          <w:rFonts w:asciiTheme="majorBidi" w:hAnsiTheme="majorBidi" w:cstheme="majorBidi"/>
        </w:rPr>
        <w:t xml:space="preserve">to test </w:t>
      </w:r>
      <w:r>
        <w:rPr>
          <w:rFonts w:ascii="Times New Roman" w:eastAsia="Calibri" w:hAnsi="Times New Roman" w:cs="Times New Roman"/>
        </w:rPr>
        <w:t>the significance of differences in the distribution of system involvement (categorical), and Kaplan Meier was used for testing the overall and event</w:t>
      </w:r>
      <w:r w:rsidRPr="00D66AF1">
        <w:rPr>
          <w:rFonts w:asciiTheme="majorBidi" w:hAnsiTheme="majorBidi" w:cstheme="majorBidi"/>
        </w:rPr>
        <w:t xml:space="preserve">-free survival of the cases. </w:t>
      </w:r>
      <w:r>
        <w:rPr>
          <w:rFonts w:ascii="Times New Roman" w:eastAsia="Calibri" w:hAnsi="Times New Roman" w:cs="Times New Roman"/>
        </w:rPr>
        <w:t xml:space="preserve">Statistical </w:t>
      </w:r>
      <w:r w:rsidRPr="00D66AF1">
        <w:rPr>
          <w:rFonts w:asciiTheme="majorBidi" w:hAnsiTheme="majorBidi" w:cstheme="majorBidi"/>
        </w:rPr>
        <w:t xml:space="preserve">significance was set at </w:t>
      </w:r>
      <w:r>
        <w:rPr>
          <w:rFonts w:ascii="Times New Roman" w:eastAsia="Calibri" w:hAnsi="Times New Roman" w:cs="Times New Roman"/>
        </w:rPr>
        <w:t>p&lt;0.05.</w:t>
      </w:r>
    </w:p>
    <w:p w14:paraId="72604E35" w14:textId="77777777" w:rsidR="00CC47BC" w:rsidRPr="00D14DAA" w:rsidRDefault="005E46C3" w:rsidP="00CC47BC">
      <w:pPr>
        <w:pStyle w:val="ListParagraph"/>
        <w:numPr>
          <w:ilvl w:val="0"/>
          <w:numId w:val="1"/>
        </w:numPr>
        <w:spacing w:after="160" w:line="259" w:lineRule="auto"/>
        <w:ind w:left="284"/>
        <w:rPr>
          <w:rFonts w:asciiTheme="majorBidi" w:eastAsiaTheme="majorEastAsia" w:hAnsiTheme="majorBidi" w:cstheme="majorBidi"/>
          <w:b/>
          <w:bCs/>
          <w:i/>
          <w:iCs/>
        </w:rPr>
      </w:pPr>
      <w:r w:rsidRPr="00D14DAA">
        <w:rPr>
          <w:rFonts w:asciiTheme="majorBidi" w:hAnsiTheme="majorBidi" w:cstheme="majorBidi"/>
          <w:b/>
          <w:bCs/>
          <w:i/>
          <w:iCs/>
        </w:rPr>
        <w:t>Results</w:t>
      </w:r>
      <w:r w:rsidRPr="00D14DAA">
        <w:rPr>
          <w:rFonts w:asciiTheme="majorBidi" w:hAnsiTheme="majorBidi" w:cstheme="majorBidi"/>
          <w:b/>
          <w:bCs/>
        </w:rPr>
        <w:t>:</w:t>
      </w:r>
    </w:p>
    <w:p w14:paraId="223838C7" w14:textId="42091960" w:rsidR="00CC47BC" w:rsidRPr="006C10F8" w:rsidRDefault="005E46C3" w:rsidP="00CC47BC">
      <w:pPr>
        <w:spacing w:before="100" w:beforeAutospacing="1"/>
        <w:jc w:val="both"/>
        <w:outlineLvl w:val="0"/>
        <w:rPr>
          <w:rFonts w:ascii="Times New Roman" w:eastAsia="Times New Roman" w:hAnsi="Times New Roman" w:cs="Times New Roman"/>
          <w:b/>
          <w:bCs/>
        </w:rPr>
      </w:pPr>
      <w:r w:rsidRPr="006C10F8">
        <w:rPr>
          <w:rFonts w:ascii="Times New Roman" w:eastAsia="Times New Roman" w:hAnsi="Times New Roman" w:cs="Times New Roman"/>
          <w:b/>
          <w:bCs/>
        </w:rPr>
        <w:t>Table</w:t>
      </w:r>
      <w:r w:rsidRPr="006C10F8">
        <w:rPr>
          <w:rFonts w:ascii="Times New Roman" w:eastAsia="Times New Roman" w:hAnsi="Times New Roman" w:cs="Times New Roman"/>
          <w:b/>
          <w:bCs/>
          <w:rtl/>
        </w:rPr>
        <w:t xml:space="preserve"> </w:t>
      </w:r>
      <w:r w:rsidRPr="006C10F8">
        <w:rPr>
          <w:rFonts w:ascii="Times New Roman" w:eastAsia="Times New Roman" w:hAnsi="Times New Roman" w:cs="Times New Roman"/>
          <w:b/>
          <w:bCs/>
          <w:rtl/>
        </w:rPr>
        <w:fldChar w:fldCharType="begin"/>
      </w:r>
      <w:r w:rsidRPr="006C10F8">
        <w:rPr>
          <w:rFonts w:ascii="Times New Roman" w:eastAsia="Times New Roman" w:hAnsi="Times New Roman" w:cs="Times New Roman"/>
          <w:b/>
          <w:bCs/>
          <w:rtl/>
        </w:rPr>
        <w:instrText xml:space="preserve"> </w:instrText>
      </w:r>
      <w:r w:rsidRPr="006C10F8">
        <w:rPr>
          <w:rFonts w:ascii="Times New Roman" w:eastAsia="Times New Roman" w:hAnsi="Times New Roman" w:cs="Times New Roman"/>
          <w:b/>
          <w:bCs/>
        </w:rPr>
        <w:instrText>SEQ</w:instrText>
      </w:r>
      <w:r w:rsidRPr="006C10F8">
        <w:rPr>
          <w:rFonts w:ascii="Times New Roman" w:eastAsia="Times New Roman" w:hAnsi="Times New Roman" w:cs="Times New Roman"/>
          <w:b/>
          <w:bCs/>
          <w:rtl/>
        </w:rPr>
        <w:instrText xml:space="preserve"> </w:instrText>
      </w:r>
      <w:r w:rsidRPr="006C10F8">
        <w:rPr>
          <w:rFonts w:ascii="Times New Roman" w:eastAsia="Times New Roman" w:hAnsi="Times New Roman" w:cs="Times New Roman"/>
          <w:b/>
          <w:bCs/>
        </w:rPr>
        <w:instrText>Table \* ARABIC</w:instrText>
      </w:r>
      <w:r w:rsidRPr="006C10F8">
        <w:rPr>
          <w:rFonts w:ascii="Times New Roman" w:eastAsia="Times New Roman" w:hAnsi="Times New Roman" w:cs="Times New Roman"/>
          <w:b/>
          <w:bCs/>
          <w:rtl/>
        </w:rPr>
        <w:instrText xml:space="preserve"> </w:instrText>
      </w:r>
      <w:r w:rsidRPr="006C10F8">
        <w:rPr>
          <w:rFonts w:ascii="Times New Roman" w:eastAsia="Times New Roman" w:hAnsi="Times New Roman" w:cs="Times New Roman"/>
          <w:b/>
          <w:bCs/>
          <w:rtl/>
        </w:rPr>
        <w:fldChar w:fldCharType="separate"/>
      </w:r>
      <w:r w:rsidR="00E14269">
        <w:rPr>
          <w:rFonts w:ascii="Times New Roman" w:eastAsia="Times New Roman" w:hAnsi="Times New Roman" w:cs="Times New Roman"/>
          <w:b/>
          <w:bCs/>
          <w:noProof/>
          <w:rtl/>
        </w:rPr>
        <w:t>1</w:t>
      </w:r>
      <w:r w:rsidRPr="006C10F8">
        <w:rPr>
          <w:rFonts w:ascii="Times New Roman" w:eastAsia="Times New Roman" w:hAnsi="Times New Roman" w:cs="Times New Roman"/>
          <w:b/>
          <w:bCs/>
          <w:rtl/>
        </w:rPr>
        <w:fldChar w:fldCharType="end"/>
      </w:r>
      <w:r w:rsidRPr="006C10F8">
        <w:rPr>
          <w:rFonts w:ascii="Times New Roman" w:eastAsia="Times New Roman" w:hAnsi="Times New Roman" w:cs="Times New Roman"/>
          <w:b/>
          <w:bCs/>
        </w:rPr>
        <w:t>: Characteristics of the patients (n=33).</w:t>
      </w:r>
    </w:p>
    <w:tbl>
      <w:tblPr>
        <w:tblW w:w="4844" w:type="pct"/>
        <w:tblBorders>
          <w:top w:val="double" w:sz="4" w:space="0" w:color="auto"/>
          <w:bottom w:val="double" w:sz="4" w:space="0" w:color="auto"/>
        </w:tblBorders>
        <w:tblLayout w:type="fixed"/>
        <w:tblLook w:val="0000" w:firstRow="0" w:lastRow="0" w:firstColumn="0" w:lastColumn="0" w:noHBand="0" w:noVBand="0"/>
      </w:tblPr>
      <w:tblGrid>
        <w:gridCol w:w="5733"/>
        <w:gridCol w:w="1409"/>
        <w:gridCol w:w="1597"/>
      </w:tblGrid>
      <w:tr w:rsidR="00B7002F" w14:paraId="404910EE" w14:textId="77777777" w:rsidTr="00D87B20">
        <w:tc>
          <w:tcPr>
            <w:tcW w:w="3280" w:type="pct"/>
            <w:tcBorders>
              <w:top w:val="double" w:sz="4" w:space="0" w:color="auto"/>
              <w:bottom w:val="single" w:sz="18" w:space="0" w:color="auto"/>
            </w:tcBorders>
            <w:shd w:val="clear" w:color="auto" w:fill="auto"/>
          </w:tcPr>
          <w:p w14:paraId="61E6FE70" w14:textId="77777777" w:rsidR="00CC47BC" w:rsidRPr="00607C8A" w:rsidRDefault="005E46C3" w:rsidP="00D87B20">
            <w:pPr>
              <w:spacing w:after="100" w:afterAutospacing="1"/>
              <w:rPr>
                <w:rFonts w:ascii="Times New Roman" w:eastAsia="Times New Roman" w:hAnsi="Times New Roman" w:cs="Times New Roman"/>
              </w:rPr>
            </w:pPr>
            <w:r w:rsidRPr="00607C8A">
              <w:rPr>
                <w:rFonts w:ascii="Times New Roman" w:eastAsia="Times New Roman" w:hAnsi="Times New Roman" w:cs="Times New Roman"/>
              </w:rPr>
              <w:t>Characteristics</w:t>
            </w:r>
          </w:p>
        </w:tc>
        <w:tc>
          <w:tcPr>
            <w:tcW w:w="806" w:type="pct"/>
            <w:tcBorders>
              <w:top w:val="double" w:sz="4" w:space="0" w:color="auto"/>
              <w:bottom w:val="single" w:sz="18" w:space="0" w:color="auto"/>
            </w:tcBorders>
            <w:shd w:val="clear" w:color="auto" w:fill="auto"/>
          </w:tcPr>
          <w:p w14:paraId="75BBE7D9" w14:textId="77777777" w:rsidR="00CC47BC" w:rsidRPr="00607C8A" w:rsidRDefault="005E46C3" w:rsidP="00D87B20">
            <w:pPr>
              <w:spacing w:after="100" w:afterAutospacing="1"/>
              <w:jc w:val="center"/>
              <w:rPr>
                <w:rFonts w:ascii="Times New Roman" w:eastAsia="Times New Roman" w:hAnsi="Times New Roman" w:cs="Times New Roman"/>
              </w:rPr>
            </w:pPr>
            <w:r w:rsidRPr="00607C8A">
              <w:rPr>
                <w:rFonts w:ascii="Times New Roman" w:eastAsia="Times New Roman" w:hAnsi="Times New Roman" w:cs="Times New Roman"/>
              </w:rPr>
              <w:t>No.</w:t>
            </w:r>
          </w:p>
        </w:tc>
        <w:tc>
          <w:tcPr>
            <w:tcW w:w="914" w:type="pct"/>
            <w:tcBorders>
              <w:top w:val="double" w:sz="4" w:space="0" w:color="auto"/>
              <w:bottom w:val="single" w:sz="18" w:space="0" w:color="auto"/>
            </w:tcBorders>
            <w:shd w:val="clear" w:color="auto" w:fill="auto"/>
          </w:tcPr>
          <w:p w14:paraId="44BA75E1" w14:textId="77777777" w:rsidR="00CC47BC" w:rsidRPr="00607C8A" w:rsidRDefault="005E46C3" w:rsidP="00D87B20">
            <w:pPr>
              <w:spacing w:after="100" w:afterAutospacing="1"/>
              <w:jc w:val="center"/>
              <w:rPr>
                <w:rFonts w:ascii="Times New Roman" w:eastAsia="Times New Roman" w:hAnsi="Times New Roman" w:cs="Times New Roman"/>
              </w:rPr>
            </w:pPr>
            <w:r w:rsidRPr="00607C8A">
              <w:rPr>
                <w:rFonts w:ascii="Times New Roman" w:eastAsia="Times New Roman" w:hAnsi="Times New Roman" w:cs="Times New Roman"/>
              </w:rPr>
              <w:t>Percentage</w:t>
            </w:r>
          </w:p>
        </w:tc>
      </w:tr>
      <w:tr w:rsidR="00B7002F" w14:paraId="6D238368" w14:textId="77777777" w:rsidTr="00D87B20">
        <w:tc>
          <w:tcPr>
            <w:tcW w:w="3280" w:type="pct"/>
            <w:tcBorders>
              <w:top w:val="single" w:sz="18" w:space="0" w:color="auto"/>
              <w:bottom w:val="nil"/>
            </w:tcBorders>
            <w:shd w:val="clear" w:color="auto" w:fill="auto"/>
          </w:tcPr>
          <w:p w14:paraId="4E1B4C48" w14:textId="77777777" w:rsidR="00CC47BC" w:rsidRPr="00607C8A" w:rsidRDefault="005E46C3" w:rsidP="00D87B20">
            <w:pPr>
              <w:spacing w:after="100" w:afterAutospacing="1"/>
              <w:rPr>
                <w:rFonts w:ascii="Times New Roman" w:eastAsia="Times New Roman" w:hAnsi="Times New Roman" w:cs="Times New Roman"/>
                <w:b/>
                <w:bCs/>
                <w:i/>
                <w:iCs/>
              </w:rPr>
            </w:pPr>
            <w:r w:rsidRPr="00607C8A">
              <w:rPr>
                <w:rFonts w:ascii="Times New Roman" w:eastAsia="Times New Roman" w:hAnsi="Times New Roman" w:cs="Times New Roman" w:hint="cs"/>
                <w:b/>
                <w:bCs/>
                <w:i/>
                <w:iCs/>
                <w:rtl/>
              </w:rPr>
              <w:t xml:space="preserve"> </w:t>
            </w:r>
            <w:r w:rsidRPr="00607C8A">
              <w:rPr>
                <w:rFonts w:ascii="Times New Roman" w:eastAsia="Times New Roman" w:hAnsi="Times New Roman" w:cs="Times New Roman"/>
                <w:b/>
                <w:bCs/>
                <w:i/>
                <w:iCs/>
              </w:rPr>
              <w:t>Gender:</w:t>
            </w:r>
          </w:p>
        </w:tc>
        <w:tc>
          <w:tcPr>
            <w:tcW w:w="806" w:type="pct"/>
            <w:tcBorders>
              <w:top w:val="single" w:sz="18" w:space="0" w:color="auto"/>
              <w:bottom w:val="nil"/>
            </w:tcBorders>
            <w:shd w:val="clear" w:color="auto" w:fill="auto"/>
          </w:tcPr>
          <w:p w14:paraId="084A4D7C" w14:textId="77777777" w:rsidR="00CC47BC" w:rsidRPr="00607C8A" w:rsidRDefault="00CC47BC" w:rsidP="00D87B20">
            <w:pPr>
              <w:spacing w:after="100" w:afterAutospacing="1"/>
              <w:jc w:val="center"/>
              <w:rPr>
                <w:rFonts w:ascii="Times New Roman" w:eastAsia="Times New Roman" w:hAnsi="Times New Roman" w:cs="Times New Roman"/>
              </w:rPr>
            </w:pPr>
          </w:p>
        </w:tc>
        <w:tc>
          <w:tcPr>
            <w:tcW w:w="914" w:type="pct"/>
            <w:tcBorders>
              <w:top w:val="single" w:sz="18" w:space="0" w:color="auto"/>
              <w:bottom w:val="nil"/>
            </w:tcBorders>
            <w:shd w:val="clear" w:color="auto" w:fill="auto"/>
          </w:tcPr>
          <w:p w14:paraId="258B5408" w14:textId="77777777" w:rsidR="00CC47BC" w:rsidRPr="00607C8A" w:rsidRDefault="00CC47BC" w:rsidP="00D87B20">
            <w:pPr>
              <w:spacing w:after="100" w:afterAutospacing="1"/>
              <w:jc w:val="center"/>
              <w:rPr>
                <w:rFonts w:ascii="Times New Roman" w:eastAsia="Times New Roman" w:hAnsi="Times New Roman" w:cs="Times New Roman"/>
              </w:rPr>
            </w:pPr>
          </w:p>
        </w:tc>
      </w:tr>
      <w:tr w:rsidR="00B7002F" w14:paraId="4D2493F3" w14:textId="77777777" w:rsidTr="00D87B20">
        <w:tc>
          <w:tcPr>
            <w:tcW w:w="3280" w:type="pct"/>
            <w:tcBorders>
              <w:bottom w:val="nil"/>
            </w:tcBorders>
            <w:shd w:val="clear" w:color="auto" w:fill="auto"/>
          </w:tcPr>
          <w:p w14:paraId="06751815"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bookmarkStart w:id="7" w:name="OLE_LINK88"/>
            <w:bookmarkStart w:id="8" w:name="OLE_LINK89"/>
            <w:r w:rsidRPr="00607C8A">
              <w:rPr>
                <w:rFonts w:ascii="Times New Roman" w:eastAsia="Times New Roman" w:hAnsi="Times New Roman" w:cs="Times New Roman"/>
              </w:rPr>
              <w:t>Male</w:t>
            </w:r>
          </w:p>
        </w:tc>
        <w:tc>
          <w:tcPr>
            <w:tcW w:w="806" w:type="pct"/>
            <w:tcBorders>
              <w:bottom w:val="nil"/>
            </w:tcBorders>
            <w:shd w:val="clear" w:color="auto" w:fill="auto"/>
            <w:vAlign w:val="center"/>
          </w:tcPr>
          <w:p w14:paraId="5529954D"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22</w:t>
            </w:r>
          </w:p>
        </w:tc>
        <w:tc>
          <w:tcPr>
            <w:tcW w:w="914" w:type="pct"/>
            <w:tcBorders>
              <w:bottom w:val="nil"/>
            </w:tcBorders>
            <w:shd w:val="clear" w:color="auto" w:fill="auto"/>
            <w:vAlign w:val="center"/>
          </w:tcPr>
          <w:p w14:paraId="3751833D"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66.7</w:t>
            </w:r>
          </w:p>
        </w:tc>
      </w:tr>
      <w:tr w:rsidR="00B7002F" w14:paraId="16592C89" w14:textId="77777777" w:rsidTr="00D87B20">
        <w:tc>
          <w:tcPr>
            <w:tcW w:w="3280" w:type="pct"/>
            <w:tcBorders>
              <w:top w:val="nil"/>
              <w:bottom w:val="single" w:sz="8" w:space="0" w:color="auto"/>
            </w:tcBorders>
            <w:shd w:val="clear" w:color="auto" w:fill="auto"/>
          </w:tcPr>
          <w:p w14:paraId="0F4CB47C"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Female</w:t>
            </w:r>
          </w:p>
        </w:tc>
        <w:tc>
          <w:tcPr>
            <w:tcW w:w="806" w:type="pct"/>
            <w:tcBorders>
              <w:top w:val="nil"/>
              <w:bottom w:val="single" w:sz="8" w:space="0" w:color="auto"/>
            </w:tcBorders>
            <w:shd w:val="clear" w:color="auto" w:fill="auto"/>
            <w:vAlign w:val="center"/>
          </w:tcPr>
          <w:p w14:paraId="0CB4BF68"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11</w:t>
            </w:r>
          </w:p>
        </w:tc>
        <w:tc>
          <w:tcPr>
            <w:tcW w:w="914" w:type="pct"/>
            <w:tcBorders>
              <w:top w:val="nil"/>
              <w:bottom w:val="single" w:sz="8" w:space="0" w:color="auto"/>
            </w:tcBorders>
            <w:shd w:val="clear" w:color="auto" w:fill="auto"/>
            <w:vAlign w:val="center"/>
          </w:tcPr>
          <w:p w14:paraId="0D1FC1C4"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33.3</w:t>
            </w:r>
          </w:p>
        </w:tc>
      </w:tr>
      <w:tr w:rsidR="00B7002F" w14:paraId="47B2C820" w14:textId="77777777" w:rsidTr="00D87B20">
        <w:tc>
          <w:tcPr>
            <w:tcW w:w="3280" w:type="pct"/>
            <w:tcBorders>
              <w:top w:val="single" w:sz="8" w:space="0" w:color="auto"/>
            </w:tcBorders>
            <w:shd w:val="clear" w:color="auto" w:fill="auto"/>
          </w:tcPr>
          <w:p w14:paraId="760E3D50" w14:textId="77777777" w:rsidR="00CC47BC" w:rsidRPr="00607C8A" w:rsidRDefault="005E46C3" w:rsidP="00D87B20">
            <w:pPr>
              <w:spacing w:after="100" w:afterAutospacing="1"/>
              <w:rPr>
                <w:rFonts w:ascii="Times New Roman" w:eastAsia="Times New Roman" w:hAnsi="Times New Roman" w:cs="Times New Roman"/>
              </w:rPr>
            </w:pPr>
            <w:r w:rsidRPr="00607C8A">
              <w:rPr>
                <w:rFonts w:ascii="Times New Roman" w:eastAsia="Times New Roman" w:hAnsi="Times New Roman" w:cs="Times New Roman"/>
                <w:b/>
                <w:bCs/>
                <w:i/>
                <w:iCs/>
              </w:rPr>
              <w:t>Nationality:</w:t>
            </w:r>
          </w:p>
        </w:tc>
        <w:tc>
          <w:tcPr>
            <w:tcW w:w="806" w:type="pct"/>
            <w:tcBorders>
              <w:top w:val="single" w:sz="8" w:space="0" w:color="auto"/>
            </w:tcBorders>
            <w:shd w:val="clear" w:color="auto" w:fill="auto"/>
          </w:tcPr>
          <w:p w14:paraId="1B531316"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c>
          <w:tcPr>
            <w:tcW w:w="914" w:type="pct"/>
            <w:tcBorders>
              <w:top w:val="single" w:sz="8" w:space="0" w:color="auto"/>
            </w:tcBorders>
            <w:shd w:val="clear" w:color="auto" w:fill="auto"/>
          </w:tcPr>
          <w:p w14:paraId="5D0FF18E"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r>
      <w:tr w:rsidR="00B7002F" w14:paraId="2B032041" w14:textId="77777777" w:rsidTr="00D87B20">
        <w:tc>
          <w:tcPr>
            <w:tcW w:w="3280" w:type="pct"/>
            <w:tcBorders>
              <w:bottom w:val="nil"/>
            </w:tcBorders>
            <w:shd w:val="clear" w:color="auto" w:fill="auto"/>
            <w:vAlign w:val="center"/>
          </w:tcPr>
          <w:p w14:paraId="30B450E9"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Saudi</w:t>
            </w:r>
          </w:p>
        </w:tc>
        <w:tc>
          <w:tcPr>
            <w:tcW w:w="806" w:type="pct"/>
            <w:tcBorders>
              <w:bottom w:val="nil"/>
            </w:tcBorders>
            <w:shd w:val="clear" w:color="auto" w:fill="auto"/>
            <w:vAlign w:val="center"/>
          </w:tcPr>
          <w:p w14:paraId="1090D9F5"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31</w:t>
            </w:r>
          </w:p>
        </w:tc>
        <w:tc>
          <w:tcPr>
            <w:tcW w:w="914" w:type="pct"/>
            <w:tcBorders>
              <w:bottom w:val="nil"/>
            </w:tcBorders>
            <w:shd w:val="clear" w:color="auto" w:fill="auto"/>
            <w:vAlign w:val="center"/>
          </w:tcPr>
          <w:p w14:paraId="20064148"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93.9</w:t>
            </w:r>
          </w:p>
        </w:tc>
      </w:tr>
      <w:tr w:rsidR="00B7002F" w14:paraId="43F353A1" w14:textId="77777777" w:rsidTr="00D87B20">
        <w:tc>
          <w:tcPr>
            <w:tcW w:w="3280" w:type="pct"/>
            <w:tcBorders>
              <w:top w:val="nil"/>
              <w:bottom w:val="single" w:sz="8" w:space="0" w:color="auto"/>
            </w:tcBorders>
            <w:shd w:val="clear" w:color="auto" w:fill="auto"/>
            <w:vAlign w:val="center"/>
          </w:tcPr>
          <w:p w14:paraId="31F920D3"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Non-Saudi</w:t>
            </w:r>
          </w:p>
        </w:tc>
        <w:tc>
          <w:tcPr>
            <w:tcW w:w="806" w:type="pct"/>
            <w:tcBorders>
              <w:top w:val="nil"/>
              <w:bottom w:val="single" w:sz="8" w:space="0" w:color="auto"/>
            </w:tcBorders>
            <w:shd w:val="clear" w:color="auto" w:fill="auto"/>
            <w:vAlign w:val="center"/>
          </w:tcPr>
          <w:p w14:paraId="3D6D15DF"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2</w:t>
            </w:r>
          </w:p>
        </w:tc>
        <w:tc>
          <w:tcPr>
            <w:tcW w:w="914" w:type="pct"/>
            <w:tcBorders>
              <w:top w:val="nil"/>
              <w:bottom w:val="single" w:sz="8" w:space="0" w:color="auto"/>
            </w:tcBorders>
            <w:shd w:val="clear" w:color="auto" w:fill="auto"/>
            <w:vAlign w:val="center"/>
          </w:tcPr>
          <w:p w14:paraId="1CECCFF9"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6.1</w:t>
            </w:r>
          </w:p>
        </w:tc>
      </w:tr>
      <w:tr w:rsidR="00B7002F" w14:paraId="1D008726" w14:textId="77777777" w:rsidTr="00D87B20">
        <w:tc>
          <w:tcPr>
            <w:tcW w:w="3280" w:type="pct"/>
            <w:tcBorders>
              <w:top w:val="single" w:sz="8" w:space="0" w:color="auto"/>
            </w:tcBorders>
            <w:shd w:val="clear" w:color="auto" w:fill="auto"/>
          </w:tcPr>
          <w:p w14:paraId="68DC2EF6" w14:textId="77777777" w:rsidR="00CC47BC" w:rsidRPr="00607C8A" w:rsidRDefault="005E46C3" w:rsidP="00D87B20">
            <w:pPr>
              <w:spacing w:after="100" w:afterAutospacing="1"/>
              <w:rPr>
                <w:rFonts w:ascii="Times New Roman" w:eastAsia="Times New Roman" w:hAnsi="Times New Roman" w:cs="Times New Roman"/>
              </w:rPr>
            </w:pPr>
            <w:r w:rsidRPr="00607C8A">
              <w:rPr>
                <w:rFonts w:ascii="Times New Roman" w:eastAsia="Times New Roman" w:hAnsi="Times New Roman" w:cs="Times New Roman"/>
                <w:b/>
                <w:bCs/>
                <w:i/>
                <w:iCs/>
              </w:rPr>
              <w:t>Age at diagnosis:</w:t>
            </w:r>
          </w:p>
        </w:tc>
        <w:tc>
          <w:tcPr>
            <w:tcW w:w="806" w:type="pct"/>
            <w:tcBorders>
              <w:top w:val="single" w:sz="8" w:space="0" w:color="auto"/>
            </w:tcBorders>
            <w:shd w:val="clear" w:color="auto" w:fill="auto"/>
          </w:tcPr>
          <w:p w14:paraId="62028DA6"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c>
          <w:tcPr>
            <w:tcW w:w="914" w:type="pct"/>
            <w:tcBorders>
              <w:top w:val="single" w:sz="8" w:space="0" w:color="auto"/>
            </w:tcBorders>
            <w:shd w:val="clear" w:color="auto" w:fill="auto"/>
          </w:tcPr>
          <w:p w14:paraId="170103EE"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r>
      <w:tr w:rsidR="00B7002F" w14:paraId="5D6CC54D" w14:textId="77777777" w:rsidTr="00D87B20">
        <w:tc>
          <w:tcPr>
            <w:tcW w:w="3280" w:type="pct"/>
            <w:tcBorders>
              <w:bottom w:val="nil"/>
            </w:tcBorders>
            <w:shd w:val="clear" w:color="auto" w:fill="auto"/>
            <w:vAlign w:val="center"/>
          </w:tcPr>
          <w:p w14:paraId="384D6D6F"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&lt;24months</w:t>
            </w:r>
          </w:p>
        </w:tc>
        <w:tc>
          <w:tcPr>
            <w:tcW w:w="806" w:type="pct"/>
            <w:tcBorders>
              <w:bottom w:val="nil"/>
            </w:tcBorders>
            <w:shd w:val="clear" w:color="auto" w:fill="auto"/>
            <w:vAlign w:val="center"/>
          </w:tcPr>
          <w:p w14:paraId="0D6C10BF"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14</w:t>
            </w:r>
          </w:p>
        </w:tc>
        <w:tc>
          <w:tcPr>
            <w:tcW w:w="914" w:type="pct"/>
            <w:tcBorders>
              <w:bottom w:val="nil"/>
            </w:tcBorders>
            <w:shd w:val="clear" w:color="auto" w:fill="auto"/>
            <w:vAlign w:val="center"/>
          </w:tcPr>
          <w:p w14:paraId="05CB2590"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42.4</w:t>
            </w:r>
          </w:p>
        </w:tc>
      </w:tr>
      <w:tr w:rsidR="00B7002F" w14:paraId="659CF03B" w14:textId="77777777" w:rsidTr="00D87B20">
        <w:tc>
          <w:tcPr>
            <w:tcW w:w="3280" w:type="pct"/>
            <w:tcBorders>
              <w:top w:val="nil"/>
              <w:bottom w:val="single" w:sz="8" w:space="0" w:color="auto"/>
            </w:tcBorders>
            <w:shd w:val="clear" w:color="auto" w:fill="auto"/>
            <w:vAlign w:val="center"/>
          </w:tcPr>
          <w:p w14:paraId="30D9F975"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u w:val="single"/>
              </w:rPr>
              <w:t>&gt;</w:t>
            </w:r>
            <w:r w:rsidRPr="00607C8A">
              <w:rPr>
                <w:rFonts w:ascii="Times New Roman" w:eastAsia="Times New Roman" w:hAnsi="Times New Roman" w:cs="Times New Roman"/>
              </w:rPr>
              <w:t>24 months</w:t>
            </w:r>
          </w:p>
        </w:tc>
        <w:tc>
          <w:tcPr>
            <w:tcW w:w="806" w:type="pct"/>
            <w:tcBorders>
              <w:top w:val="nil"/>
              <w:bottom w:val="single" w:sz="8" w:space="0" w:color="auto"/>
            </w:tcBorders>
            <w:shd w:val="clear" w:color="auto" w:fill="auto"/>
            <w:vAlign w:val="center"/>
          </w:tcPr>
          <w:p w14:paraId="3543D938"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19</w:t>
            </w:r>
          </w:p>
        </w:tc>
        <w:tc>
          <w:tcPr>
            <w:tcW w:w="914" w:type="pct"/>
            <w:tcBorders>
              <w:top w:val="nil"/>
              <w:bottom w:val="single" w:sz="8" w:space="0" w:color="auto"/>
            </w:tcBorders>
            <w:shd w:val="clear" w:color="auto" w:fill="auto"/>
            <w:vAlign w:val="center"/>
          </w:tcPr>
          <w:p w14:paraId="06F0F969"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 xml:space="preserve">57.6 </w:t>
            </w:r>
          </w:p>
        </w:tc>
      </w:tr>
      <w:tr w:rsidR="00B7002F" w14:paraId="042953B4" w14:textId="77777777" w:rsidTr="00D87B20">
        <w:tc>
          <w:tcPr>
            <w:tcW w:w="3280" w:type="pct"/>
            <w:tcBorders>
              <w:top w:val="single" w:sz="8" w:space="0" w:color="auto"/>
            </w:tcBorders>
            <w:shd w:val="clear" w:color="auto" w:fill="auto"/>
          </w:tcPr>
          <w:p w14:paraId="50B90563" w14:textId="77777777" w:rsidR="00CC47BC" w:rsidRPr="00607C8A" w:rsidRDefault="005E46C3" w:rsidP="00D87B20">
            <w:pPr>
              <w:spacing w:after="100" w:afterAutospacing="1"/>
              <w:rPr>
                <w:rFonts w:ascii="Times New Roman" w:eastAsia="Times New Roman" w:hAnsi="Times New Roman" w:cs="Times New Roman"/>
              </w:rPr>
            </w:pPr>
            <w:r w:rsidRPr="00607C8A">
              <w:rPr>
                <w:rFonts w:ascii="Times New Roman" w:eastAsia="Times New Roman" w:hAnsi="Times New Roman" w:cs="Times New Roman"/>
                <w:b/>
                <w:bCs/>
                <w:i/>
                <w:iCs/>
              </w:rPr>
              <w:t>Presenting clinical findings:</w:t>
            </w:r>
          </w:p>
        </w:tc>
        <w:tc>
          <w:tcPr>
            <w:tcW w:w="806" w:type="pct"/>
            <w:tcBorders>
              <w:top w:val="single" w:sz="8" w:space="0" w:color="auto"/>
            </w:tcBorders>
            <w:shd w:val="clear" w:color="auto" w:fill="auto"/>
          </w:tcPr>
          <w:p w14:paraId="65108DC4"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c>
          <w:tcPr>
            <w:tcW w:w="914" w:type="pct"/>
            <w:tcBorders>
              <w:top w:val="single" w:sz="8" w:space="0" w:color="auto"/>
            </w:tcBorders>
            <w:shd w:val="clear" w:color="auto" w:fill="auto"/>
          </w:tcPr>
          <w:p w14:paraId="471B7A22"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r>
      <w:tr w:rsidR="00B7002F" w14:paraId="3322D716" w14:textId="77777777" w:rsidTr="00D87B20">
        <w:tc>
          <w:tcPr>
            <w:tcW w:w="3280" w:type="pct"/>
            <w:tcBorders>
              <w:bottom w:val="nil"/>
            </w:tcBorders>
            <w:shd w:val="clear" w:color="auto" w:fill="auto"/>
            <w:vAlign w:val="center"/>
          </w:tcPr>
          <w:p w14:paraId="407CE2B4"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Swelling</w:t>
            </w:r>
          </w:p>
        </w:tc>
        <w:tc>
          <w:tcPr>
            <w:tcW w:w="806" w:type="pct"/>
            <w:tcBorders>
              <w:bottom w:val="nil"/>
            </w:tcBorders>
            <w:shd w:val="clear" w:color="auto" w:fill="auto"/>
            <w:vAlign w:val="center"/>
          </w:tcPr>
          <w:p w14:paraId="1211E3B8"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23</w:t>
            </w:r>
          </w:p>
        </w:tc>
        <w:tc>
          <w:tcPr>
            <w:tcW w:w="914" w:type="pct"/>
            <w:tcBorders>
              <w:bottom w:val="nil"/>
            </w:tcBorders>
            <w:shd w:val="clear" w:color="auto" w:fill="auto"/>
            <w:vAlign w:val="center"/>
          </w:tcPr>
          <w:p w14:paraId="5359B287"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69.7</w:t>
            </w:r>
          </w:p>
        </w:tc>
      </w:tr>
      <w:tr w:rsidR="00B7002F" w14:paraId="34AECF64" w14:textId="77777777" w:rsidTr="00D87B20">
        <w:tc>
          <w:tcPr>
            <w:tcW w:w="3280" w:type="pct"/>
            <w:tcBorders>
              <w:bottom w:val="nil"/>
            </w:tcBorders>
            <w:shd w:val="clear" w:color="auto" w:fill="auto"/>
            <w:vAlign w:val="center"/>
          </w:tcPr>
          <w:p w14:paraId="5AA22C00"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Pain</w:t>
            </w:r>
          </w:p>
        </w:tc>
        <w:tc>
          <w:tcPr>
            <w:tcW w:w="806" w:type="pct"/>
            <w:tcBorders>
              <w:bottom w:val="nil"/>
            </w:tcBorders>
            <w:shd w:val="clear" w:color="auto" w:fill="auto"/>
            <w:vAlign w:val="center"/>
          </w:tcPr>
          <w:p w14:paraId="1A7EE102"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10</w:t>
            </w:r>
          </w:p>
        </w:tc>
        <w:tc>
          <w:tcPr>
            <w:tcW w:w="914" w:type="pct"/>
            <w:tcBorders>
              <w:bottom w:val="nil"/>
            </w:tcBorders>
            <w:shd w:val="clear" w:color="auto" w:fill="auto"/>
            <w:vAlign w:val="center"/>
          </w:tcPr>
          <w:p w14:paraId="108AB783"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30.3</w:t>
            </w:r>
          </w:p>
        </w:tc>
      </w:tr>
      <w:tr w:rsidR="00B7002F" w14:paraId="5FBB7154" w14:textId="77777777" w:rsidTr="00D87B20">
        <w:tc>
          <w:tcPr>
            <w:tcW w:w="3280" w:type="pct"/>
            <w:tcBorders>
              <w:bottom w:val="nil"/>
            </w:tcBorders>
            <w:shd w:val="clear" w:color="auto" w:fill="auto"/>
            <w:vAlign w:val="center"/>
          </w:tcPr>
          <w:p w14:paraId="31570F03"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Skin rash</w:t>
            </w:r>
          </w:p>
        </w:tc>
        <w:tc>
          <w:tcPr>
            <w:tcW w:w="806" w:type="pct"/>
            <w:tcBorders>
              <w:bottom w:val="nil"/>
            </w:tcBorders>
            <w:shd w:val="clear" w:color="auto" w:fill="auto"/>
            <w:vAlign w:val="center"/>
          </w:tcPr>
          <w:p w14:paraId="73E7BE34"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9</w:t>
            </w:r>
          </w:p>
        </w:tc>
        <w:tc>
          <w:tcPr>
            <w:tcW w:w="914" w:type="pct"/>
            <w:tcBorders>
              <w:bottom w:val="nil"/>
            </w:tcBorders>
            <w:shd w:val="clear" w:color="auto" w:fill="auto"/>
            <w:vAlign w:val="center"/>
          </w:tcPr>
          <w:p w14:paraId="1C78C21C"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27.3</w:t>
            </w:r>
          </w:p>
        </w:tc>
      </w:tr>
      <w:tr w:rsidR="00B7002F" w14:paraId="1FCFBA4E" w14:textId="77777777" w:rsidTr="00D87B20">
        <w:tc>
          <w:tcPr>
            <w:tcW w:w="3280" w:type="pct"/>
            <w:tcBorders>
              <w:bottom w:val="nil"/>
            </w:tcBorders>
            <w:shd w:val="clear" w:color="auto" w:fill="auto"/>
            <w:vAlign w:val="center"/>
          </w:tcPr>
          <w:p w14:paraId="34F79675"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Liver dysfunction</w:t>
            </w:r>
          </w:p>
        </w:tc>
        <w:tc>
          <w:tcPr>
            <w:tcW w:w="806" w:type="pct"/>
            <w:tcBorders>
              <w:bottom w:val="nil"/>
            </w:tcBorders>
            <w:shd w:val="clear" w:color="auto" w:fill="auto"/>
            <w:vAlign w:val="center"/>
          </w:tcPr>
          <w:p w14:paraId="1953D269"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5</w:t>
            </w:r>
          </w:p>
        </w:tc>
        <w:tc>
          <w:tcPr>
            <w:tcW w:w="914" w:type="pct"/>
            <w:tcBorders>
              <w:bottom w:val="nil"/>
            </w:tcBorders>
            <w:shd w:val="clear" w:color="auto" w:fill="auto"/>
            <w:vAlign w:val="center"/>
          </w:tcPr>
          <w:p w14:paraId="3FBBB9B2"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15.2</w:t>
            </w:r>
          </w:p>
        </w:tc>
      </w:tr>
      <w:tr w:rsidR="00B7002F" w14:paraId="0BF2B3FC" w14:textId="77777777" w:rsidTr="00D87B20">
        <w:tc>
          <w:tcPr>
            <w:tcW w:w="3280" w:type="pct"/>
            <w:tcBorders>
              <w:bottom w:val="nil"/>
            </w:tcBorders>
            <w:shd w:val="clear" w:color="auto" w:fill="auto"/>
            <w:vAlign w:val="center"/>
          </w:tcPr>
          <w:p w14:paraId="7F2B179A"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lastRenderedPageBreak/>
              <w:t>Ear dysfunction</w:t>
            </w:r>
          </w:p>
        </w:tc>
        <w:tc>
          <w:tcPr>
            <w:tcW w:w="806" w:type="pct"/>
            <w:tcBorders>
              <w:bottom w:val="nil"/>
            </w:tcBorders>
            <w:shd w:val="clear" w:color="auto" w:fill="auto"/>
            <w:vAlign w:val="center"/>
          </w:tcPr>
          <w:p w14:paraId="333563E9"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5</w:t>
            </w:r>
          </w:p>
        </w:tc>
        <w:tc>
          <w:tcPr>
            <w:tcW w:w="914" w:type="pct"/>
            <w:tcBorders>
              <w:bottom w:val="nil"/>
            </w:tcBorders>
            <w:shd w:val="clear" w:color="auto" w:fill="auto"/>
            <w:vAlign w:val="center"/>
          </w:tcPr>
          <w:p w14:paraId="2246A9F4"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15.2</w:t>
            </w:r>
          </w:p>
        </w:tc>
      </w:tr>
      <w:bookmarkEnd w:id="7"/>
      <w:bookmarkEnd w:id="8"/>
      <w:tr w:rsidR="00B7002F" w14:paraId="475B2E70" w14:textId="77777777" w:rsidTr="00D87B20">
        <w:tc>
          <w:tcPr>
            <w:tcW w:w="3280" w:type="pct"/>
            <w:tcBorders>
              <w:bottom w:val="nil"/>
            </w:tcBorders>
            <w:shd w:val="clear" w:color="auto" w:fill="auto"/>
            <w:vAlign w:val="center"/>
          </w:tcPr>
          <w:p w14:paraId="78EF82D1"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Polyurea/Polydipsia</w:t>
            </w:r>
          </w:p>
        </w:tc>
        <w:tc>
          <w:tcPr>
            <w:tcW w:w="806" w:type="pct"/>
            <w:tcBorders>
              <w:bottom w:val="nil"/>
            </w:tcBorders>
            <w:shd w:val="clear" w:color="auto" w:fill="auto"/>
            <w:vAlign w:val="center"/>
          </w:tcPr>
          <w:p w14:paraId="177A7594"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tl/>
              </w:rPr>
            </w:pPr>
            <w:r w:rsidRPr="00607C8A">
              <w:rPr>
                <w:rFonts w:ascii="Times New Roman" w:eastAsia="Times New Roman" w:hAnsi="Times New Roman" w:cs="Times New Roman"/>
              </w:rPr>
              <w:t>5</w:t>
            </w:r>
          </w:p>
        </w:tc>
        <w:tc>
          <w:tcPr>
            <w:tcW w:w="914" w:type="pct"/>
            <w:tcBorders>
              <w:bottom w:val="nil"/>
            </w:tcBorders>
            <w:shd w:val="clear" w:color="auto" w:fill="auto"/>
            <w:vAlign w:val="center"/>
          </w:tcPr>
          <w:p w14:paraId="4FFD66BD"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15.2</w:t>
            </w:r>
          </w:p>
        </w:tc>
      </w:tr>
      <w:tr w:rsidR="00B7002F" w14:paraId="7B311ECA" w14:textId="77777777" w:rsidTr="00D87B20">
        <w:tc>
          <w:tcPr>
            <w:tcW w:w="3280" w:type="pct"/>
            <w:tcBorders>
              <w:bottom w:val="nil"/>
            </w:tcBorders>
            <w:shd w:val="clear" w:color="auto" w:fill="auto"/>
            <w:vAlign w:val="center"/>
          </w:tcPr>
          <w:p w14:paraId="101146FF"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Diarrhea and failure to thrive</w:t>
            </w:r>
          </w:p>
        </w:tc>
        <w:tc>
          <w:tcPr>
            <w:tcW w:w="806" w:type="pct"/>
            <w:tcBorders>
              <w:bottom w:val="nil"/>
            </w:tcBorders>
            <w:shd w:val="clear" w:color="auto" w:fill="auto"/>
            <w:vAlign w:val="center"/>
          </w:tcPr>
          <w:p w14:paraId="01DD62FB"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3</w:t>
            </w:r>
          </w:p>
        </w:tc>
        <w:tc>
          <w:tcPr>
            <w:tcW w:w="914" w:type="pct"/>
            <w:tcBorders>
              <w:bottom w:val="nil"/>
            </w:tcBorders>
            <w:shd w:val="clear" w:color="auto" w:fill="auto"/>
            <w:vAlign w:val="center"/>
          </w:tcPr>
          <w:p w14:paraId="252AEF75"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9.1</w:t>
            </w:r>
          </w:p>
        </w:tc>
      </w:tr>
      <w:tr w:rsidR="00B7002F" w14:paraId="405E37B9" w14:textId="77777777" w:rsidTr="00D87B20">
        <w:tc>
          <w:tcPr>
            <w:tcW w:w="3280" w:type="pct"/>
            <w:tcBorders>
              <w:top w:val="nil"/>
              <w:bottom w:val="single" w:sz="8" w:space="0" w:color="auto"/>
            </w:tcBorders>
            <w:shd w:val="clear" w:color="auto" w:fill="auto"/>
            <w:vAlign w:val="center"/>
          </w:tcPr>
          <w:p w14:paraId="26772093"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Others</w:t>
            </w:r>
          </w:p>
        </w:tc>
        <w:tc>
          <w:tcPr>
            <w:tcW w:w="806" w:type="pct"/>
            <w:tcBorders>
              <w:top w:val="nil"/>
              <w:bottom w:val="single" w:sz="8" w:space="0" w:color="auto"/>
            </w:tcBorders>
            <w:shd w:val="clear" w:color="auto" w:fill="auto"/>
            <w:vAlign w:val="center"/>
          </w:tcPr>
          <w:p w14:paraId="43295E2D"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tl/>
              </w:rPr>
            </w:pPr>
            <w:r w:rsidRPr="00607C8A">
              <w:rPr>
                <w:rFonts w:ascii="Times New Roman" w:eastAsia="Times New Roman" w:hAnsi="Times New Roman" w:cs="Times New Roman"/>
              </w:rPr>
              <w:t>10</w:t>
            </w:r>
          </w:p>
        </w:tc>
        <w:tc>
          <w:tcPr>
            <w:tcW w:w="914" w:type="pct"/>
            <w:tcBorders>
              <w:top w:val="nil"/>
              <w:bottom w:val="single" w:sz="8" w:space="0" w:color="auto"/>
            </w:tcBorders>
            <w:shd w:val="clear" w:color="auto" w:fill="auto"/>
            <w:vAlign w:val="center"/>
          </w:tcPr>
          <w:p w14:paraId="250EB5B9"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tl/>
              </w:rPr>
            </w:pPr>
            <w:r w:rsidRPr="00607C8A">
              <w:rPr>
                <w:rFonts w:ascii="Times New Roman" w:eastAsia="Times New Roman" w:hAnsi="Times New Roman" w:cs="Times New Roman"/>
              </w:rPr>
              <w:t>30.3</w:t>
            </w:r>
          </w:p>
        </w:tc>
      </w:tr>
      <w:tr w:rsidR="00B7002F" w14:paraId="7F2C9EE2" w14:textId="77777777" w:rsidTr="00D87B20">
        <w:tc>
          <w:tcPr>
            <w:tcW w:w="3280" w:type="pct"/>
            <w:tcBorders>
              <w:top w:val="single" w:sz="8" w:space="0" w:color="auto"/>
            </w:tcBorders>
            <w:shd w:val="clear" w:color="auto" w:fill="auto"/>
          </w:tcPr>
          <w:p w14:paraId="798C92EA" w14:textId="77777777" w:rsidR="00CC47BC" w:rsidRPr="00607C8A" w:rsidRDefault="005E46C3" w:rsidP="00D87B20">
            <w:pPr>
              <w:spacing w:after="100" w:afterAutospacing="1"/>
              <w:rPr>
                <w:rFonts w:ascii="Times New Roman" w:eastAsia="Times New Roman" w:hAnsi="Times New Roman" w:cs="Times New Roman"/>
              </w:rPr>
            </w:pPr>
            <w:r w:rsidRPr="00607C8A">
              <w:rPr>
                <w:rFonts w:ascii="Times New Roman" w:eastAsia="Times New Roman" w:hAnsi="Times New Roman" w:cs="Times New Roman"/>
                <w:b/>
                <w:bCs/>
                <w:i/>
                <w:iCs/>
              </w:rPr>
              <w:t>Organ involved:</w:t>
            </w:r>
          </w:p>
        </w:tc>
        <w:tc>
          <w:tcPr>
            <w:tcW w:w="806" w:type="pct"/>
            <w:tcBorders>
              <w:top w:val="single" w:sz="8" w:space="0" w:color="auto"/>
            </w:tcBorders>
            <w:shd w:val="clear" w:color="auto" w:fill="auto"/>
          </w:tcPr>
          <w:p w14:paraId="20ED0BA1"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c>
          <w:tcPr>
            <w:tcW w:w="914" w:type="pct"/>
            <w:tcBorders>
              <w:top w:val="single" w:sz="8" w:space="0" w:color="auto"/>
            </w:tcBorders>
            <w:shd w:val="clear" w:color="auto" w:fill="auto"/>
          </w:tcPr>
          <w:p w14:paraId="40E3D344"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r>
      <w:tr w:rsidR="00B7002F" w14:paraId="69F7FD0F" w14:textId="77777777" w:rsidTr="00D87B20">
        <w:tc>
          <w:tcPr>
            <w:tcW w:w="3280" w:type="pct"/>
            <w:tcBorders>
              <w:bottom w:val="nil"/>
            </w:tcBorders>
            <w:shd w:val="clear" w:color="auto" w:fill="auto"/>
            <w:vAlign w:val="bottom"/>
          </w:tcPr>
          <w:p w14:paraId="6DD8335E"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tl/>
              </w:rPr>
            </w:pPr>
            <w:r w:rsidRPr="00607C8A">
              <w:rPr>
                <w:rFonts w:ascii="Times New Roman" w:eastAsia="Times New Roman" w:hAnsi="Times New Roman" w:cs="Times New Roman"/>
              </w:rPr>
              <w:t>Bone unifocal</w:t>
            </w:r>
          </w:p>
        </w:tc>
        <w:tc>
          <w:tcPr>
            <w:tcW w:w="806" w:type="pct"/>
            <w:tcBorders>
              <w:bottom w:val="nil"/>
            </w:tcBorders>
            <w:shd w:val="clear" w:color="auto" w:fill="auto"/>
            <w:vAlign w:val="center"/>
          </w:tcPr>
          <w:p w14:paraId="1A379350"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20</w:t>
            </w:r>
          </w:p>
        </w:tc>
        <w:tc>
          <w:tcPr>
            <w:tcW w:w="914" w:type="pct"/>
            <w:tcBorders>
              <w:bottom w:val="nil"/>
            </w:tcBorders>
            <w:shd w:val="clear" w:color="auto" w:fill="auto"/>
            <w:vAlign w:val="center"/>
          </w:tcPr>
          <w:p w14:paraId="611B28C5"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60.6</w:t>
            </w:r>
          </w:p>
        </w:tc>
      </w:tr>
      <w:tr w:rsidR="00B7002F" w14:paraId="3E66343F" w14:textId="77777777" w:rsidTr="00D87B20">
        <w:tc>
          <w:tcPr>
            <w:tcW w:w="3280" w:type="pct"/>
            <w:tcBorders>
              <w:bottom w:val="nil"/>
            </w:tcBorders>
            <w:shd w:val="clear" w:color="auto" w:fill="auto"/>
            <w:vAlign w:val="bottom"/>
          </w:tcPr>
          <w:p w14:paraId="69B40D13"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Bone multifocal</w:t>
            </w:r>
          </w:p>
        </w:tc>
        <w:tc>
          <w:tcPr>
            <w:tcW w:w="806" w:type="pct"/>
            <w:tcBorders>
              <w:bottom w:val="nil"/>
            </w:tcBorders>
            <w:shd w:val="clear" w:color="auto" w:fill="auto"/>
            <w:vAlign w:val="bottom"/>
          </w:tcPr>
          <w:p w14:paraId="3B668FEF"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14</w:t>
            </w:r>
          </w:p>
        </w:tc>
        <w:tc>
          <w:tcPr>
            <w:tcW w:w="914" w:type="pct"/>
            <w:tcBorders>
              <w:bottom w:val="nil"/>
            </w:tcBorders>
            <w:shd w:val="clear" w:color="auto" w:fill="auto"/>
            <w:vAlign w:val="bottom"/>
          </w:tcPr>
          <w:p w14:paraId="68AC8B3B"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42.4</w:t>
            </w:r>
          </w:p>
        </w:tc>
      </w:tr>
      <w:tr w:rsidR="00B7002F" w14:paraId="4A403838" w14:textId="77777777" w:rsidTr="00D87B20">
        <w:tc>
          <w:tcPr>
            <w:tcW w:w="3280" w:type="pct"/>
            <w:tcBorders>
              <w:bottom w:val="nil"/>
            </w:tcBorders>
            <w:shd w:val="clear" w:color="auto" w:fill="auto"/>
            <w:vAlign w:val="bottom"/>
          </w:tcPr>
          <w:p w14:paraId="71EF183F"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Soft tissue</w:t>
            </w:r>
          </w:p>
        </w:tc>
        <w:tc>
          <w:tcPr>
            <w:tcW w:w="806" w:type="pct"/>
            <w:tcBorders>
              <w:bottom w:val="nil"/>
            </w:tcBorders>
            <w:shd w:val="clear" w:color="auto" w:fill="auto"/>
            <w:vAlign w:val="bottom"/>
          </w:tcPr>
          <w:p w14:paraId="7C820E09"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15</w:t>
            </w:r>
          </w:p>
        </w:tc>
        <w:tc>
          <w:tcPr>
            <w:tcW w:w="914" w:type="pct"/>
            <w:tcBorders>
              <w:bottom w:val="nil"/>
            </w:tcBorders>
            <w:shd w:val="clear" w:color="auto" w:fill="auto"/>
            <w:vAlign w:val="bottom"/>
          </w:tcPr>
          <w:p w14:paraId="246177DE"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45.5</w:t>
            </w:r>
          </w:p>
        </w:tc>
      </w:tr>
      <w:tr w:rsidR="00B7002F" w14:paraId="4A0920EA" w14:textId="77777777" w:rsidTr="00D87B20">
        <w:tc>
          <w:tcPr>
            <w:tcW w:w="3280" w:type="pct"/>
            <w:tcBorders>
              <w:bottom w:val="nil"/>
            </w:tcBorders>
            <w:shd w:val="clear" w:color="auto" w:fill="auto"/>
            <w:vAlign w:val="bottom"/>
          </w:tcPr>
          <w:p w14:paraId="1CB99B81"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Liver</w:t>
            </w:r>
          </w:p>
        </w:tc>
        <w:tc>
          <w:tcPr>
            <w:tcW w:w="806" w:type="pct"/>
            <w:tcBorders>
              <w:bottom w:val="nil"/>
            </w:tcBorders>
            <w:shd w:val="clear" w:color="auto" w:fill="auto"/>
            <w:vAlign w:val="bottom"/>
          </w:tcPr>
          <w:p w14:paraId="178F7191"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10</w:t>
            </w:r>
          </w:p>
        </w:tc>
        <w:tc>
          <w:tcPr>
            <w:tcW w:w="914" w:type="pct"/>
            <w:tcBorders>
              <w:bottom w:val="nil"/>
            </w:tcBorders>
            <w:shd w:val="clear" w:color="auto" w:fill="auto"/>
            <w:vAlign w:val="bottom"/>
          </w:tcPr>
          <w:p w14:paraId="75048903"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30.3</w:t>
            </w:r>
          </w:p>
        </w:tc>
      </w:tr>
      <w:tr w:rsidR="00B7002F" w14:paraId="6DA74600" w14:textId="77777777" w:rsidTr="00D87B20">
        <w:tc>
          <w:tcPr>
            <w:tcW w:w="3280" w:type="pct"/>
            <w:tcBorders>
              <w:bottom w:val="nil"/>
            </w:tcBorders>
            <w:shd w:val="clear" w:color="auto" w:fill="auto"/>
            <w:vAlign w:val="bottom"/>
          </w:tcPr>
          <w:p w14:paraId="5B408F57"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Skin</w:t>
            </w:r>
          </w:p>
        </w:tc>
        <w:tc>
          <w:tcPr>
            <w:tcW w:w="806" w:type="pct"/>
            <w:tcBorders>
              <w:bottom w:val="nil"/>
            </w:tcBorders>
            <w:shd w:val="clear" w:color="auto" w:fill="auto"/>
            <w:vAlign w:val="bottom"/>
          </w:tcPr>
          <w:p w14:paraId="56C7F0BE"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9</w:t>
            </w:r>
          </w:p>
        </w:tc>
        <w:tc>
          <w:tcPr>
            <w:tcW w:w="914" w:type="pct"/>
            <w:tcBorders>
              <w:bottom w:val="nil"/>
            </w:tcBorders>
            <w:shd w:val="clear" w:color="auto" w:fill="auto"/>
            <w:vAlign w:val="bottom"/>
          </w:tcPr>
          <w:p w14:paraId="4F6B97B1"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27.3</w:t>
            </w:r>
          </w:p>
        </w:tc>
      </w:tr>
      <w:tr w:rsidR="00B7002F" w14:paraId="7487797B" w14:textId="77777777" w:rsidTr="00D87B20">
        <w:tc>
          <w:tcPr>
            <w:tcW w:w="3280" w:type="pct"/>
            <w:tcBorders>
              <w:bottom w:val="nil"/>
            </w:tcBorders>
            <w:shd w:val="clear" w:color="auto" w:fill="auto"/>
            <w:vAlign w:val="bottom"/>
          </w:tcPr>
          <w:p w14:paraId="453572FF"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Lymph nodes</w:t>
            </w:r>
          </w:p>
        </w:tc>
        <w:tc>
          <w:tcPr>
            <w:tcW w:w="806" w:type="pct"/>
            <w:tcBorders>
              <w:bottom w:val="nil"/>
            </w:tcBorders>
            <w:shd w:val="clear" w:color="auto" w:fill="auto"/>
            <w:vAlign w:val="bottom"/>
          </w:tcPr>
          <w:p w14:paraId="2E898A5D"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6</w:t>
            </w:r>
          </w:p>
        </w:tc>
        <w:tc>
          <w:tcPr>
            <w:tcW w:w="914" w:type="pct"/>
            <w:tcBorders>
              <w:bottom w:val="nil"/>
            </w:tcBorders>
            <w:shd w:val="clear" w:color="auto" w:fill="auto"/>
            <w:vAlign w:val="bottom"/>
          </w:tcPr>
          <w:p w14:paraId="6D8DD093"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18.2</w:t>
            </w:r>
          </w:p>
        </w:tc>
      </w:tr>
      <w:tr w:rsidR="00B7002F" w14:paraId="22E6F900" w14:textId="77777777" w:rsidTr="00D87B20">
        <w:tc>
          <w:tcPr>
            <w:tcW w:w="3280" w:type="pct"/>
            <w:tcBorders>
              <w:bottom w:val="nil"/>
            </w:tcBorders>
            <w:shd w:val="clear" w:color="auto" w:fill="auto"/>
            <w:vAlign w:val="bottom"/>
          </w:tcPr>
          <w:p w14:paraId="0C4C5B0C"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Spleen</w:t>
            </w:r>
          </w:p>
        </w:tc>
        <w:tc>
          <w:tcPr>
            <w:tcW w:w="806" w:type="pct"/>
            <w:tcBorders>
              <w:bottom w:val="nil"/>
            </w:tcBorders>
            <w:shd w:val="clear" w:color="auto" w:fill="auto"/>
            <w:vAlign w:val="bottom"/>
          </w:tcPr>
          <w:p w14:paraId="684D9C78"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5</w:t>
            </w:r>
          </w:p>
        </w:tc>
        <w:tc>
          <w:tcPr>
            <w:tcW w:w="914" w:type="pct"/>
            <w:tcBorders>
              <w:bottom w:val="nil"/>
            </w:tcBorders>
            <w:shd w:val="clear" w:color="auto" w:fill="auto"/>
            <w:vAlign w:val="bottom"/>
          </w:tcPr>
          <w:p w14:paraId="0478A1E1"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15.2</w:t>
            </w:r>
          </w:p>
        </w:tc>
      </w:tr>
      <w:tr w:rsidR="00B7002F" w14:paraId="1D627742" w14:textId="77777777" w:rsidTr="00D87B20">
        <w:tc>
          <w:tcPr>
            <w:tcW w:w="3280" w:type="pct"/>
            <w:tcBorders>
              <w:bottom w:val="nil"/>
            </w:tcBorders>
            <w:shd w:val="clear" w:color="auto" w:fill="auto"/>
            <w:vAlign w:val="bottom"/>
          </w:tcPr>
          <w:p w14:paraId="11EB3AB0"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Lung</w:t>
            </w:r>
          </w:p>
        </w:tc>
        <w:tc>
          <w:tcPr>
            <w:tcW w:w="806" w:type="pct"/>
            <w:tcBorders>
              <w:bottom w:val="nil"/>
            </w:tcBorders>
            <w:shd w:val="clear" w:color="auto" w:fill="auto"/>
            <w:vAlign w:val="bottom"/>
          </w:tcPr>
          <w:p w14:paraId="08372292"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4</w:t>
            </w:r>
          </w:p>
        </w:tc>
        <w:tc>
          <w:tcPr>
            <w:tcW w:w="914" w:type="pct"/>
            <w:tcBorders>
              <w:bottom w:val="nil"/>
            </w:tcBorders>
            <w:shd w:val="clear" w:color="auto" w:fill="auto"/>
            <w:vAlign w:val="bottom"/>
          </w:tcPr>
          <w:p w14:paraId="4635EA18"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12.1</w:t>
            </w:r>
          </w:p>
        </w:tc>
      </w:tr>
      <w:tr w:rsidR="00B7002F" w14:paraId="6A9949BA" w14:textId="77777777" w:rsidTr="00D87B20">
        <w:tc>
          <w:tcPr>
            <w:tcW w:w="3280" w:type="pct"/>
            <w:tcBorders>
              <w:top w:val="nil"/>
              <w:bottom w:val="single" w:sz="8" w:space="0" w:color="auto"/>
            </w:tcBorders>
            <w:shd w:val="clear" w:color="auto" w:fill="auto"/>
            <w:vAlign w:val="bottom"/>
          </w:tcPr>
          <w:p w14:paraId="6585DEF7"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Pituitary gland</w:t>
            </w:r>
          </w:p>
        </w:tc>
        <w:tc>
          <w:tcPr>
            <w:tcW w:w="806" w:type="pct"/>
            <w:tcBorders>
              <w:top w:val="nil"/>
              <w:bottom w:val="single" w:sz="8" w:space="0" w:color="auto"/>
            </w:tcBorders>
            <w:shd w:val="clear" w:color="auto" w:fill="auto"/>
            <w:vAlign w:val="bottom"/>
          </w:tcPr>
          <w:p w14:paraId="5BC78837"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top w:val="nil"/>
              <w:bottom w:val="single" w:sz="8" w:space="0" w:color="auto"/>
            </w:tcBorders>
            <w:shd w:val="clear" w:color="auto" w:fill="auto"/>
            <w:vAlign w:val="bottom"/>
          </w:tcPr>
          <w:p w14:paraId="10C181B2"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3.0</w:t>
            </w:r>
          </w:p>
        </w:tc>
      </w:tr>
      <w:tr w:rsidR="00B7002F" w14:paraId="3F160B15" w14:textId="77777777" w:rsidTr="00D87B20">
        <w:tc>
          <w:tcPr>
            <w:tcW w:w="3280" w:type="pct"/>
            <w:tcBorders>
              <w:top w:val="single" w:sz="8" w:space="0" w:color="auto"/>
            </w:tcBorders>
            <w:shd w:val="clear" w:color="auto" w:fill="auto"/>
          </w:tcPr>
          <w:p w14:paraId="15AE4A07" w14:textId="77777777" w:rsidR="00CC47BC" w:rsidRPr="00607C8A" w:rsidRDefault="005E46C3" w:rsidP="00D87B20">
            <w:pPr>
              <w:spacing w:after="100" w:afterAutospacing="1"/>
              <w:rPr>
                <w:rFonts w:ascii="Times New Roman" w:eastAsia="Times New Roman" w:hAnsi="Times New Roman" w:cs="Times New Roman"/>
              </w:rPr>
            </w:pPr>
            <w:r w:rsidRPr="00607C8A">
              <w:rPr>
                <w:rFonts w:ascii="Times New Roman" w:eastAsia="Times New Roman" w:hAnsi="Times New Roman" w:cs="Times New Roman"/>
                <w:b/>
                <w:bCs/>
                <w:i/>
                <w:iCs/>
              </w:rPr>
              <w:t>Special site involvement:</w:t>
            </w:r>
          </w:p>
        </w:tc>
        <w:tc>
          <w:tcPr>
            <w:tcW w:w="806" w:type="pct"/>
            <w:tcBorders>
              <w:top w:val="single" w:sz="8" w:space="0" w:color="auto"/>
            </w:tcBorders>
            <w:shd w:val="clear" w:color="auto" w:fill="auto"/>
          </w:tcPr>
          <w:p w14:paraId="5A5A9FC5"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c>
          <w:tcPr>
            <w:tcW w:w="914" w:type="pct"/>
            <w:tcBorders>
              <w:top w:val="single" w:sz="8" w:space="0" w:color="auto"/>
            </w:tcBorders>
            <w:shd w:val="clear" w:color="auto" w:fill="auto"/>
          </w:tcPr>
          <w:p w14:paraId="61B02F5E"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r>
      <w:tr w:rsidR="00B7002F" w14:paraId="5E7B6619" w14:textId="77777777" w:rsidTr="00D87B20">
        <w:tc>
          <w:tcPr>
            <w:tcW w:w="3280" w:type="pct"/>
            <w:tcBorders>
              <w:bottom w:val="nil"/>
            </w:tcBorders>
            <w:shd w:val="clear" w:color="auto" w:fill="auto"/>
          </w:tcPr>
          <w:p w14:paraId="4BB3E79D"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tl/>
              </w:rPr>
            </w:pPr>
            <w:r w:rsidRPr="00607C8A">
              <w:rPr>
                <w:rFonts w:ascii="Times New Roman" w:eastAsia="Times New Roman" w:hAnsi="Times New Roman" w:cs="Times New Roman"/>
              </w:rPr>
              <w:t>CNS</w:t>
            </w:r>
          </w:p>
        </w:tc>
        <w:tc>
          <w:tcPr>
            <w:tcW w:w="806" w:type="pct"/>
            <w:tcBorders>
              <w:bottom w:val="nil"/>
            </w:tcBorders>
            <w:shd w:val="clear" w:color="auto" w:fill="auto"/>
          </w:tcPr>
          <w:p w14:paraId="4FC95AB6"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15</w:t>
            </w:r>
          </w:p>
        </w:tc>
        <w:tc>
          <w:tcPr>
            <w:tcW w:w="914" w:type="pct"/>
            <w:tcBorders>
              <w:bottom w:val="nil"/>
            </w:tcBorders>
            <w:shd w:val="clear" w:color="auto" w:fill="auto"/>
          </w:tcPr>
          <w:p w14:paraId="7AA9C870"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45.5</w:t>
            </w:r>
          </w:p>
        </w:tc>
      </w:tr>
      <w:tr w:rsidR="00B7002F" w14:paraId="24DA5FE8" w14:textId="77777777" w:rsidTr="00D87B20">
        <w:tc>
          <w:tcPr>
            <w:tcW w:w="3280" w:type="pct"/>
            <w:tcBorders>
              <w:bottom w:val="nil"/>
            </w:tcBorders>
            <w:shd w:val="clear" w:color="auto" w:fill="auto"/>
          </w:tcPr>
          <w:p w14:paraId="3F08BF33"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Vertebrae</w:t>
            </w:r>
          </w:p>
        </w:tc>
        <w:tc>
          <w:tcPr>
            <w:tcW w:w="806" w:type="pct"/>
            <w:tcBorders>
              <w:bottom w:val="nil"/>
            </w:tcBorders>
            <w:shd w:val="clear" w:color="auto" w:fill="auto"/>
          </w:tcPr>
          <w:p w14:paraId="4D9BD381"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6</w:t>
            </w:r>
          </w:p>
        </w:tc>
        <w:tc>
          <w:tcPr>
            <w:tcW w:w="914" w:type="pct"/>
            <w:tcBorders>
              <w:bottom w:val="nil"/>
            </w:tcBorders>
            <w:shd w:val="clear" w:color="auto" w:fill="auto"/>
          </w:tcPr>
          <w:p w14:paraId="6E0DDCBE"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18.2</w:t>
            </w:r>
          </w:p>
        </w:tc>
      </w:tr>
      <w:tr w:rsidR="00B7002F" w14:paraId="72FF8DD9" w14:textId="77777777" w:rsidTr="00D87B20">
        <w:tc>
          <w:tcPr>
            <w:tcW w:w="3280" w:type="pct"/>
            <w:tcBorders>
              <w:top w:val="nil"/>
              <w:bottom w:val="single" w:sz="4" w:space="0" w:color="auto"/>
            </w:tcBorders>
            <w:shd w:val="clear" w:color="auto" w:fill="auto"/>
            <w:vAlign w:val="center"/>
          </w:tcPr>
          <w:p w14:paraId="689E1CEC"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Femur</w:t>
            </w:r>
          </w:p>
        </w:tc>
        <w:tc>
          <w:tcPr>
            <w:tcW w:w="806" w:type="pct"/>
            <w:tcBorders>
              <w:top w:val="nil"/>
              <w:bottom w:val="single" w:sz="4" w:space="0" w:color="auto"/>
            </w:tcBorders>
            <w:shd w:val="clear" w:color="auto" w:fill="auto"/>
            <w:vAlign w:val="center"/>
          </w:tcPr>
          <w:p w14:paraId="14C87B2E"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2</w:t>
            </w:r>
          </w:p>
        </w:tc>
        <w:tc>
          <w:tcPr>
            <w:tcW w:w="914" w:type="pct"/>
            <w:tcBorders>
              <w:top w:val="nil"/>
              <w:bottom w:val="single" w:sz="4" w:space="0" w:color="auto"/>
            </w:tcBorders>
            <w:shd w:val="clear" w:color="auto" w:fill="auto"/>
            <w:vAlign w:val="center"/>
          </w:tcPr>
          <w:p w14:paraId="6A2A4756"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6.1</w:t>
            </w:r>
          </w:p>
        </w:tc>
      </w:tr>
      <w:tr w:rsidR="00B7002F" w14:paraId="447A0C25" w14:textId="77777777" w:rsidTr="00D87B20">
        <w:tc>
          <w:tcPr>
            <w:tcW w:w="3280" w:type="pct"/>
            <w:tcBorders>
              <w:top w:val="single" w:sz="4" w:space="0" w:color="auto"/>
              <w:bottom w:val="nil"/>
            </w:tcBorders>
            <w:shd w:val="clear" w:color="auto" w:fill="auto"/>
          </w:tcPr>
          <w:p w14:paraId="50F1B558" w14:textId="77777777" w:rsidR="00CC47BC" w:rsidRPr="00607C8A" w:rsidRDefault="005E46C3" w:rsidP="00D87B20">
            <w:pPr>
              <w:autoSpaceDE w:val="0"/>
              <w:autoSpaceDN w:val="0"/>
              <w:adjustRightInd w:val="0"/>
              <w:spacing w:after="100" w:afterAutospacing="1"/>
              <w:rPr>
                <w:rFonts w:ascii="Times New Roman" w:eastAsia="Times New Roman" w:hAnsi="Times New Roman" w:cs="Times New Roman"/>
              </w:rPr>
            </w:pPr>
            <w:r w:rsidRPr="00607C8A">
              <w:rPr>
                <w:rFonts w:ascii="Times New Roman" w:eastAsia="Times New Roman" w:hAnsi="Times New Roman" w:cs="Times New Roman"/>
                <w:b/>
                <w:bCs/>
                <w:i/>
                <w:iCs/>
              </w:rPr>
              <w:t>Lab results at diagnosis:</w:t>
            </w:r>
          </w:p>
        </w:tc>
        <w:tc>
          <w:tcPr>
            <w:tcW w:w="806" w:type="pct"/>
            <w:tcBorders>
              <w:top w:val="single" w:sz="4" w:space="0" w:color="auto"/>
              <w:bottom w:val="nil"/>
            </w:tcBorders>
            <w:shd w:val="clear" w:color="auto" w:fill="auto"/>
          </w:tcPr>
          <w:p w14:paraId="63C6C004"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c>
          <w:tcPr>
            <w:tcW w:w="914" w:type="pct"/>
            <w:tcBorders>
              <w:top w:val="single" w:sz="4" w:space="0" w:color="auto"/>
              <w:bottom w:val="nil"/>
            </w:tcBorders>
            <w:shd w:val="clear" w:color="auto" w:fill="auto"/>
          </w:tcPr>
          <w:p w14:paraId="5AC14B7E"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r>
      <w:tr w:rsidR="00B7002F" w14:paraId="04E3F039" w14:textId="77777777" w:rsidTr="00D87B20">
        <w:tc>
          <w:tcPr>
            <w:tcW w:w="3280" w:type="pct"/>
            <w:tcBorders>
              <w:bottom w:val="nil"/>
            </w:tcBorders>
            <w:shd w:val="clear" w:color="auto" w:fill="auto"/>
          </w:tcPr>
          <w:p w14:paraId="1930CC73"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ESR &gt;20</w:t>
            </w:r>
          </w:p>
        </w:tc>
        <w:tc>
          <w:tcPr>
            <w:tcW w:w="806" w:type="pct"/>
            <w:tcBorders>
              <w:bottom w:val="nil"/>
            </w:tcBorders>
            <w:shd w:val="clear" w:color="auto" w:fill="auto"/>
          </w:tcPr>
          <w:p w14:paraId="00200590"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21</w:t>
            </w:r>
          </w:p>
        </w:tc>
        <w:tc>
          <w:tcPr>
            <w:tcW w:w="914" w:type="pct"/>
            <w:tcBorders>
              <w:bottom w:val="nil"/>
            </w:tcBorders>
            <w:shd w:val="clear" w:color="auto" w:fill="auto"/>
          </w:tcPr>
          <w:p w14:paraId="6782181D"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63.6</w:t>
            </w:r>
          </w:p>
        </w:tc>
      </w:tr>
      <w:tr w:rsidR="00B7002F" w14:paraId="4BF10CC9" w14:textId="77777777" w:rsidTr="00D87B20">
        <w:tc>
          <w:tcPr>
            <w:tcW w:w="3280" w:type="pct"/>
            <w:tcBorders>
              <w:bottom w:val="nil"/>
            </w:tcBorders>
            <w:shd w:val="clear" w:color="auto" w:fill="auto"/>
          </w:tcPr>
          <w:p w14:paraId="37837AD9"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Hb &lt;10 or infant &lt; 9</w:t>
            </w:r>
          </w:p>
        </w:tc>
        <w:tc>
          <w:tcPr>
            <w:tcW w:w="806" w:type="pct"/>
            <w:tcBorders>
              <w:bottom w:val="nil"/>
            </w:tcBorders>
            <w:shd w:val="clear" w:color="auto" w:fill="auto"/>
          </w:tcPr>
          <w:p w14:paraId="4A0C9CE4"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8</w:t>
            </w:r>
          </w:p>
        </w:tc>
        <w:tc>
          <w:tcPr>
            <w:tcW w:w="914" w:type="pct"/>
            <w:tcBorders>
              <w:bottom w:val="nil"/>
            </w:tcBorders>
            <w:shd w:val="clear" w:color="auto" w:fill="auto"/>
          </w:tcPr>
          <w:p w14:paraId="60EBAA4C"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24.2</w:t>
            </w:r>
          </w:p>
        </w:tc>
      </w:tr>
      <w:tr w:rsidR="00B7002F" w14:paraId="2294C023" w14:textId="77777777" w:rsidTr="00D87B20">
        <w:tc>
          <w:tcPr>
            <w:tcW w:w="3280" w:type="pct"/>
            <w:tcBorders>
              <w:bottom w:val="nil"/>
            </w:tcBorders>
            <w:shd w:val="clear" w:color="auto" w:fill="auto"/>
          </w:tcPr>
          <w:p w14:paraId="7984596D"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Bilirubin &gt;18</w:t>
            </w:r>
          </w:p>
        </w:tc>
        <w:tc>
          <w:tcPr>
            <w:tcW w:w="806" w:type="pct"/>
            <w:tcBorders>
              <w:bottom w:val="nil"/>
            </w:tcBorders>
            <w:shd w:val="clear" w:color="auto" w:fill="auto"/>
          </w:tcPr>
          <w:p w14:paraId="6567A5B4"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5</w:t>
            </w:r>
          </w:p>
        </w:tc>
        <w:tc>
          <w:tcPr>
            <w:tcW w:w="914" w:type="pct"/>
            <w:tcBorders>
              <w:bottom w:val="nil"/>
            </w:tcBorders>
            <w:shd w:val="clear" w:color="auto" w:fill="auto"/>
          </w:tcPr>
          <w:p w14:paraId="544CD503"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15.2</w:t>
            </w:r>
          </w:p>
        </w:tc>
      </w:tr>
      <w:tr w:rsidR="00B7002F" w14:paraId="7D1D7EAA" w14:textId="77777777" w:rsidTr="00D87B20">
        <w:tc>
          <w:tcPr>
            <w:tcW w:w="3280" w:type="pct"/>
            <w:tcBorders>
              <w:bottom w:val="nil"/>
            </w:tcBorders>
            <w:shd w:val="clear" w:color="auto" w:fill="auto"/>
          </w:tcPr>
          <w:p w14:paraId="3F9BD5B5"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PLT &lt;100</w:t>
            </w:r>
          </w:p>
        </w:tc>
        <w:tc>
          <w:tcPr>
            <w:tcW w:w="806" w:type="pct"/>
            <w:tcBorders>
              <w:bottom w:val="nil"/>
            </w:tcBorders>
            <w:shd w:val="clear" w:color="auto" w:fill="auto"/>
          </w:tcPr>
          <w:p w14:paraId="5862562C"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4</w:t>
            </w:r>
          </w:p>
        </w:tc>
        <w:tc>
          <w:tcPr>
            <w:tcW w:w="914" w:type="pct"/>
            <w:tcBorders>
              <w:bottom w:val="nil"/>
            </w:tcBorders>
            <w:shd w:val="clear" w:color="auto" w:fill="auto"/>
          </w:tcPr>
          <w:p w14:paraId="4F90B285"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12.1</w:t>
            </w:r>
          </w:p>
        </w:tc>
      </w:tr>
      <w:tr w:rsidR="00B7002F" w14:paraId="788261BC" w14:textId="77777777" w:rsidTr="00D87B20">
        <w:tc>
          <w:tcPr>
            <w:tcW w:w="3280" w:type="pct"/>
            <w:tcBorders>
              <w:bottom w:val="nil"/>
            </w:tcBorders>
            <w:shd w:val="clear" w:color="auto" w:fill="auto"/>
          </w:tcPr>
          <w:p w14:paraId="6F91449A"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ALT &gt;2xULN</w:t>
            </w:r>
          </w:p>
        </w:tc>
        <w:tc>
          <w:tcPr>
            <w:tcW w:w="806" w:type="pct"/>
            <w:tcBorders>
              <w:bottom w:val="nil"/>
            </w:tcBorders>
            <w:shd w:val="clear" w:color="auto" w:fill="auto"/>
          </w:tcPr>
          <w:p w14:paraId="3301CA19"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4</w:t>
            </w:r>
          </w:p>
        </w:tc>
        <w:tc>
          <w:tcPr>
            <w:tcW w:w="914" w:type="pct"/>
            <w:tcBorders>
              <w:bottom w:val="nil"/>
            </w:tcBorders>
            <w:shd w:val="clear" w:color="auto" w:fill="auto"/>
          </w:tcPr>
          <w:p w14:paraId="66B2E830"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12.1</w:t>
            </w:r>
          </w:p>
        </w:tc>
      </w:tr>
      <w:tr w:rsidR="00B7002F" w14:paraId="1424A4C6" w14:textId="77777777" w:rsidTr="00D87B20">
        <w:tc>
          <w:tcPr>
            <w:tcW w:w="3280" w:type="pct"/>
            <w:tcBorders>
              <w:bottom w:val="nil"/>
            </w:tcBorders>
            <w:shd w:val="clear" w:color="auto" w:fill="auto"/>
          </w:tcPr>
          <w:p w14:paraId="3CEC6381"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AST &gt;2xULN</w:t>
            </w:r>
          </w:p>
        </w:tc>
        <w:tc>
          <w:tcPr>
            <w:tcW w:w="806" w:type="pct"/>
            <w:tcBorders>
              <w:bottom w:val="nil"/>
            </w:tcBorders>
            <w:shd w:val="clear" w:color="auto" w:fill="auto"/>
          </w:tcPr>
          <w:p w14:paraId="53B22F98"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4</w:t>
            </w:r>
          </w:p>
        </w:tc>
        <w:tc>
          <w:tcPr>
            <w:tcW w:w="914" w:type="pct"/>
            <w:tcBorders>
              <w:bottom w:val="nil"/>
            </w:tcBorders>
            <w:shd w:val="clear" w:color="auto" w:fill="auto"/>
          </w:tcPr>
          <w:p w14:paraId="75D8AAFD"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12.1</w:t>
            </w:r>
          </w:p>
        </w:tc>
      </w:tr>
      <w:tr w:rsidR="00B7002F" w14:paraId="175E5B7E" w14:textId="77777777" w:rsidTr="00D87B20">
        <w:tc>
          <w:tcPr>
            <w:tcW w:w="3280" w:type="pct"/>
            <w:tcBorders>
              <w:bottom w:val="nil"/>
            </w:tcBorders>
            <w:shd w:val="clear" w:color="auto" w:fill="auto"/>
          </w:tcPr>
          <w:p w14:paraId="5CD1F2F4"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Albumin &lt;25</w:t>
            </w:r>
          </w:p>
        </w:tc>
        <w:tc>
          <w:tcPr>
            <w:tcW w:w="806" w:type="pct"/>
            <w:tcBorders>
              <w:bottom w:val="nil"/>
            </w:tcBorders>
            <w:shd w:val="clear" w:color="auto" w:fill="auto"/>
          </w:tcPr>
          <w:p w14:paraId="7D626F3A"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2</w:t>
            </w:r>
          </w:p>
        </w:tc>
        <w:tc>
          <w:tcPr>
            <w:tcW w:w="914" w:type="pct"/>
            <w:tcBorders>
              <w:bottom w:val="nil"/>
            </w:tcBorders>
            <w:shd w:val="clear" w:color="auto" w:fill="auto"/>
          </w:tcPr>
          <w:p w14:paraId="4451F630"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6.1</w:t>
            </w:r>
          </w:p>
        </w:tc>
      </w:tr>
      <w:tr w:rsidR="00B7002F" w14:paraId="618906C4" w14:textId="77777777" w:rsidTr="00D87B20">
        <w:tc>
          <w:tcPr>
            <w:tcW w:w="3280" w:type="pct"/>
            <w:tcBorders>
              <w:bottom w:val="nil"/>
            </w:tcBorders>
            <w:shd w:val="clear" w:color="auto" w:fill="auto"/>
          </w:tcPr>
          <w:p w14:paraId="19E8B243"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WBC &lt;4000</w:t>
            </w:r>
          </w:p>
        </w:tc>
        <w:tc>
          <w:tcPr>
            <w:tcW w:w="806" w:type="pct"/>
            <w:tcBorders>
              <w:bottom w:val="nil"/>
            </w:tcBorders>
            <w:shd w:val="clear" w:color="auto" w:fill="auto"/>
          </w:tcPr>
          <w:p w14:paraId="0F0B84BE"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bottom w:val="nil"/>
            </w:tcBorders>
            <w:shd w:val="clear" w:color="auto" w:fill="auto"/>
          </w:tcPr>
          <w:p w14:paraId="47F01CAD"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3.0</w:t>
            </w:r>
          </w:p>
        </w:tc>
      </w:tr>
      <w:tr w:rsidR="00B7002F" w14:paraId="7928B746" w14:textId="77777777" w:rsidTr="00D87B20">
        <w:tc>
          <w:tcPr>
            <w:tcW w:w="3280" w:type="pct"/>
            <w:tcBorders>
              <w:top w:val="nil"/>
              <w:bottom w:val="single" w:sz="4" w:space="0" w:color="auto"/>
            </w:tcBorders>
            <w:shd w:val="clear" w:color="auto" w:fill="auto"/>
          </w:tcPr>
          <w:p w14:paraId="60D578F3"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sidRPr="00607C8A">
              <w:rPr>
                <w:rFonts w:ascii="Times New Roman" w:eastAsia="Times New Roman" w:hAnsi="Times New Roman" w:cs="Times New Roman"/>
              </w:rPr>
              <w:t>LDH &gt;500</w:t>
            </w:r>
          </w:p>
        </w:tc>
        <w:tc>
          <w:tcPr>
            <w:tcW w:w="806" w:type="pct"/>
            <w:tcBorders>
              <w:top w:val="nil"/>
              <w:bottom w:val="single" w:sz="4" w:space="0" w:color="auto"/>
            </w:tcBorders>
            <w:shd w:val="clear" w:color="auto" w:fill="auto"/>
          </w:tcPr>
          <w:p w14:paraId="788DE3C2"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top w:val="nil"/>
              <w:bottom w:val="single" w:sz="4" w:space="0" w:color="auto"/>
            </w:tcBorders>
            <w:shd w:val="clear" w:color="auto" w:fill="auto"/>
          </w:tcPr>
          <w:p w14:paraId="76676F60"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3.0</w:t>
            </w:r>
          </w:p>
        </w:tc>
      </w:tr>
      <w:tr w:rsidR="00B7002F" w14:paraId="73F33105" w14:textId="77777777" w:rsidTr="00D87B20">
        <w:tc>
          <w:tcPr>
            <w:tcW w:w="3280" w:type="pct"/>
            <w:tcBorders>
              <w:top w:val="single" w:sz="4" w:space="0" w:color="auto"/>
              <w:bottom w:val="nil"/>
            </w:tcBorders>
            <w:shd w:val="clear" w:color="auto" w:fill="auto"/>
          </w:tcPr>
          <w:p w14:paraId="2A0BECF2" w14:textId="77777777" w:rsidR="00CC47BC" w:rsidRPr="00607C8A" w:rsidRDefault="005E46C3" w:rsidP="00D87B20">
            <w:pPr>
              <w:autoSpaceDE w:val="0"/>
              <w:autoSpaceDN w:val="0"/>
              <w:adjustRightInd w:val="0"/>
              <w:spacing w:after="100" w:afterAutospacing="1"/>
              <w:rPr>
                <w:rFonts w:ascii="Times New Roman" w:eastAsia="Times New Roman" w:hAnsi="Times New Roman" w:cs="Times New Roman"/>
              </w:rPr>
            </w:pPr>
            <w:r>
              <w:rPr>
                <w:rFonts w:ascii="Times New Roman" w:eastAsia="Times New Roman" w:hAnsi="Times New Roman" w:cs="Times New Roman"/>
                <w:b/>
                <w:bCs/>
                <w:i/>
                <w:iCs/>
              </w:rPr>
              <w:t>Classification of the disease</w:t>
            </w:r>
            <w:r w:rsidRPr="00607C8A">
              <w:rPr>
                <w:rFonts w:ascii="Times New Roman" w:eastAsia="Times New Roman" w:hAnsi="Times New Roman" w:cs="Times New Roman"/>
                <w:b/>
                <w:bCs/>
                <w:i/>
                <w:iCs/>
              </w:rPr>
              <w:t>:</w:t>
            </w:r>
          </w:p>
        </w:tc>
        <w:tc>
          <w:tcPr>
            <w:tcW w:w="806" w:type="pct"/>
            <w:tcBorders>
              <w:top w:val="single" w:sz="4" w:space="0" w:color="auto"/>
              <w:bottom w:val="nil"/>
            </w:tcBorders>
            <w:shd w:val="clear" w:color="auto" w:fill="auto"/>
          </w:tcPr>
          <w:p w14:paraId="268DC4C6"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c>
          <w:tcPr>
            <w:tcW w:w="914" w:type="pct"/>
            <w:tcBorders>
              <w:top w:val="single" w:sz="4" w:space="0" w:color="auto"/>
              <w:bottom w:val="nil"/>
            </w:tcBorders>
            <w:shd w:val="clear" w:color="auto" w:fill="auto"/>
          </w:tcPr>
          <w:p w14:paraId="27C2B700" w14:textId="77777777" w:rsidR="00CC47BC" w:rsidRPr="00607C8A" w:rsidRDefault="00CC47BC" w:rsidP="00D87B20">
            <w:pPr>
              <w:autoSpaceDE w:val="0"/>
              <w:autoSpaceDN w:val="0"/>
              <w:adjustRightInd w:val="0"/>
              <w:spacing w:after="100" w:afterAutospacing="1"/>
              <w:ind w:left="60" w:right="60"/>
              <w:jc w:val="center"/>
              <w:rPr>
                <w:rFonts w:ascii="Times New Roman" w:eastAsia="Times New Roman" w:hAnsi="Times New Roman" w:cs="Times New Roman"/>
              </w:rPr>
            </w:pPr>
          </w:p>
        </w:tc>
      </w:tr>
      <w:tr w:rsidR="00B7002F" w14:paraId="7F2CF0D7" w14:textId="77777777" w:rsidTr="00D87B20">
        <w:tc>
          <w:tcPr>
            <w:tcW w:w="3280" w:type="pct"/>
            <w:tcBorders>
              <w:bottom w:val="nil"/>
            </w:tcBorders>
            <w:shd w:val="clear" w:color="auto" w:fill="auto"/>
          </w:tcPr>
          <w:p w14:paraId="53AC8B98"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Pr>
                <w:rFonts w:ascii="Times New Roman" w:eastAsia="Times New Roman" w:hAnsi="Times New Roman" w:cs="Times New Roman"/>
              </w:rPr>
              <w:t>Multisystem RO (+)</w:t>
            </w:r>
          </w:p>
        </w:tc>
        <w:tc>
          <w:tcPr>
            <w:tcW w:w="806" w:type="pct"/>
            <w:tcBorders>
              <w:bottom w:val="nil"/>
            </w:tcBorders>
            <w:shd w:val="clear" w:color="auto" w:fill="auto"/>
          </w:tcPr>
          <w:p w14:paraId="1D742CF3"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Pr>
                <w:rFonts w:ascii="Times New Roman" w:eastAsia="Times New Roman" w:hAnsi="Times New Roman" w:cs="Times New Roman"/>
              </w:rPr>
              <w:t>13</w:t>
            </w:r>
          </w:p>
        </w:tc>
        <w:tc>
          <w:tcPr>
            <w:tcW w:w="914" w:type="pct"/>
            <w:tcBorders>
              <w:bottom w:val="nil"/>
            </w:tcBorders>
            <w:shd w:val="clear" w:color="auto" w:fill="auto"/>
          </w:tcPr>
          <w:p w14:paraId="0CED1AE1"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Pr>
                <w:rFonts w:ascii="Times New Roman" w:eastAsia="Times New Roman" w:hAnsi="Times New Roman" w:cs="Times New Roman"/>
              </w:rPr>
              <w:t>39.4</w:t>
            </w:r>
          </w:p>
        </w:tc>
      </w:tr>
      <w:tr w:rsidR="00B7002F" w14:paraId="33F55426" w14:textId="77777777" w:rsidTr="00D87B20">
        <w:tc>
          <w:tcPr>
            <w:tcW w:w="3280" w:type="pct"/>
            <w:tcBorders>
              <w:bottom w:val="nil"/>
            </w:tcBorders>
            <w:shd w:val="clear" w:color="auto" w:fill="auto"/>
          </w:tcPr>
          <w:p w14:paraId="7A2076C4"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Single system unifocal </w:t>
            </w:r>
          </w:p>
        </w:tc>
        <w:tc>
          <w:tcPr>
            <w:tcW w:w="806" w:type="pct"/>
            <w:tcBorders>
              <w:bottom w:val="nil"/>
            </w:tcBorders>
            <w:shd w:val="clear" w:color="auto" w:fill="auto"/>
          </w:tcPr>
          <w:p w14:paraId="4A793769"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Pr>
                <w:rFonts w:ascii="Times New Roman" w:eastAsia="Times New Roman" w:hAnsi="Times New Roman" w:cs="Times New Roman"/>
              </w:rPr>
              <w:t>12</w:t>
            </w:r>
          </w:p>
        </w:tc>
        <w:tc>
          <w:tcPr>
            <w:tcW w:w="914" w:type="pct"/>
            <w:tcBorders>
              <w:bottom w:val="nil"/>
            </w:tcBorders>
            <w:shd w:val="clear" w:color="auto" w:fill="auto"/>
          </w:tcPr>
          <w:p w14:paraId="274F9AE0"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Pr>
                <w:rFonts w:ascii="Times New Roman" w:eastAsia="Times New Roman" w:hAnsi="Times New Roman" w:cs="Times New Roman"/>
              </w:rPr>
              <w:t>36.4</w:t>
            </w:r>
          </w:p>
        </w:tc>
      </w:tr>
      <w:tr w:rsidR="00B7002F" w14:paraId="0C80BDF5" w14:textId="77777777" w:rsidTr="00D87B20">
        <w:tc>
          <w:tcPr>
            <w:tcW w:w="3280" w:type="pct"/>
            <w:tcBorders>
              <w:bottom w:val="nil"/>
            </w:tcBorders>
            <w:shd w:val="clear" w:color="auto" w:fill="auto"/>
          </w:tcPr>
          <w:p w14:paraId="65AA084C"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Pr>
                <w:rFonts w:ascii="Times New Roman" w:eastAsia="Times New Roman" w:hAnsi="Times New Roman" w:cs="Times New Roman"/>
              </w:rPr>
              <w:t>Multifocal single system</w:t>
            </w:r>
          </w:p>
        </w:tc>
        <w:tc>
          <w:tcPr>
            <w:tcW w:w="806" w:type="pct"/>
            <w:tcBorders>
              <w:bottom w:val="nil"/>
            </w:tcBorders>
            <w:shd w:val="clear" w:color="auto" w:fill="auto"/>
          </w:tcPr>
          <w:p w14:paraId="470D4B49"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Pr>
                <w:rFonts w:ascii="Times New Roman" w:eastAsia="Times New Roman" w:hAnsi="Times New Roman" w:cs="Times New Roman"/>
              </w:rPr>
              <w:t>7</w:t>
            </w:r>
          </w:p>
        </w:tc>
        <w:tc>
          <w:tcPr>
            <w:tcW w:w="914" w:type="pct"/>
            <w:tcBorders>
              <w:bottom w:val="nil"/>
            </w:tcBorders>
            <w:shd w:val="clear" w:color="auto" w:fill="auto"/>
          </w:tcPr>
          <w:p w14:paraId="640E1D23"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Pr>
                <w:rFonts w:ascii="Times New Roman" w:eastAsia="Times New Roman" w:hAnsi="Times New Roman" w:cs="Times New Roman"/>
              </w:rPr>
              <w:t>21.2</w:t>
            </w:r>
          </w:p>
        </w:tc>
      </w:tr>
      <w:tr w:rsidR="00B7002F" w14:paraId="2F372E7A" w14:textId="77777777" w:rsidTr="00D87B20">
        <w:tc>
          <w:tcPr>
            <w:tcW w:w="3280" w:type="pct"/>
            <w:tcBorders>
              <w:top w:val="nil"/>
              <w:bottom w:val="double" w:sz="4" w:space="0" w:color="auto"/>
            </w:tcBorders>
            <w:shd w:val="clear" w:color="auto" w:fill="auto"/>
          </w:tcPr>
          <w:p w14:paraId="4204053E" w14:textId="77777777" w:rsidR="00CC47BC" w:rsidRPr="00607C8A" w:rsidRDefault="005E46C3" w:rsidP="00D87B20">
            <w:pPr>
              <w:autoSpaceDE w:val="0"/>
              <w:autoSpaceDN w:val="0"/>
              <w:adjustRightInd w:val="0"/>
              <w:spacing w:after="100" w:afterAutospacing="1"/>
              <w:ind w:left="720"/>
              <w:rPr>
                <w:rFonts w:ascii="Times New Roman" w:eastAsia="Times New Roman" w:hAnsi="Times New Roman" w:cs="Times New Roman"/>
              </w:rPr>
            </w:pPr>
            <w:r>
              <w:rPr>
                <w:rFonts w:ascii="Times New Roman" w:eastAsia="Times New Roman" w:hAnsi="Times New Roman" w:cs="Times New Roman"/>
              </w:rPr>
              <w:t>Multisystem RO (-)</w:t>
            </w:r>
          </w:p>
        </w:tc>
        <w:tc>
          <w:tcPr>
            <w:tcW w:w="806" w:type="pct"/>
            <w:tcBorders>
              <w:top w:val="nil"/>
              <w:bottom w:val="double" w:sz="4" w:space="0" w:color="auto"/>
            </w:tcBorders>
            <w:shd w:val="clear" w:color="auto" w:fill="auto"/>
          </w:tcPr>
          <w:p w14:paraId="2F49FFEE"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top w:val="nil"/>
              <w:bottom w:val="double" w:sz="4" w:space="0" w:color="auto"/>
            </w:tcBorders>
            <w:shd w:val="clear" w:color="auto" w:fill="auto"/>
          </w:tcPr>
          <w:p w14:paraId="44EC1039" w14:textId="77777777" w:rsidR="00CC47BC" w:rsidRPr="00607C8A" w:rsidRDefault="005E46C3" w:rsidP="00D87B20">
            <w:pPr>
              <w:autoSpaceDE w:val="0"/>
              <w:autoSpaceDN w:val="0"/>
              <w:adjustRightInd w:val="0"/>
              <w:spacing w:after="100" w:afterAutospacing="1"/>
              <w:ind w:left="60" w:right="60"/>
              <w:jc w:val="center"/>
              <w:rPr>
                <w:rFonts w:ascii="Times New Roman" w:eastAsia="Times New Roman" w:hAnsi="Times New Roman" w:cs="Times New Roman"/>
              </w:rPr>
            </w:pPr>
            <w:r w:rsidRPr="00607C8A">
              <w:rPr>
                <w:rFonts w:ascii="Times New Roman" w:eastAsia="Times New Roman" w:hAnsi="Times New Roman" w:cs="Times New Roman"/>
              </w:rPr>
              <w:t>3.0</w:t>
            </w:r>
          </w:p>
        </w:tc>
      </w:tr>
    </w:tbl>
    <w:p w14:paraId="72FEDB01" w14:textId="787E9C5C" w:rsidR="00CC47BC" w:rsidRDefault="005E46C3" w:rsidP="00CC47BC">
      <w:pPr>
        <w:spacing w:before="100" w:beforeAutospacing="1" w:after="100" w:afterAutospacing="1"/>
        <w:ind w:firstLine="720"/>
        <w:jc w:val="both"/>
        <w:outlineLvl w:val="0"/>
        <w:rPr>
          <w:rFonts w:asciiTheme="majorBidi" w:eastAsia="Times New Roman" w:hAnsiTheme="majorBidi" w:cstheme="majorBidi"/>
        </w:rPr>
      </w:pPr>
      <w:r w:rsidRPr="00D66AF1">
        <w:rPr>
          <w:rFonts w:asciiTheme="majorBidi" w:eastAsia="Times New Roman" w:hAnsiTheme="majorBidi" w:cstheme="majorBidi"/>
          <w:kern w:val="36"/>
        </w:rPr>
        <w:t>Males constituted two-thirds of the patients (66.7%)</w:t>
      </w:r>
      <w:r w:rsidRPr="00D66AF1">
        <w:rPr>
          <w:rFonts w:asciiTheme="majorBidi" w:eastAsia="Times New Roman" w:hAnsiTheme="majorBidi" w:cstheme="majorBidi"/>
        </w:rPr>
        <w:t xml:space="preserve"> (M:F ratio =2) with remarkable dominance of Saudis (93.9%). The median age at diagnosis was 28 months (IQR=49 months), and slightly less than half of the patients (42.4%) were diagnosed before their second birthday. The median follow-up time was 72.1 months (IQR=86.3). The most prominent clinical findings were swelling (69.7%), bone-related pain (30.3%)</w:t>
      </w:r>
      <w:r w:rsidR="006C10F8">
        <w:rPr>
          <w:rFonts w:asciiTheme="majorBidi" w:eastAsia="Times New Roman" w:hAnsiTheme="majorBidi" w:cstheme="majorBidi"/>
        </w:rPr>
        <w:t xml:space="preserve">, </w:t>
      </w:r>
      <w:r w:rsidRPr="00D66AF1">
        <w:rPr>
          <w:rFonts w:asciiTheme="majorBidi" w:eastAsia="Times New Roman" w:hAnsiTheme="majorBidi" w:cstheme="majorBidi"/>
        </w:rPr>
        <w:t>skin rash (27.3%),</w:t>
      </w:r>
      <w:r w:rsidRPr="00D66AF1">
        <w:rPr>
          <w:rFonts w:asciiTheme="majorBidi" w:hAnsiTheme="majorBidi" w:cstheme="majorBidi"/>
        </w:rPr>
        <w:t xml:space="preserve"> </w:t>
      </w:r>
      <w:r w:rsidRPr="00D66AF1">
        <w:rPr>
          <w:rFonts w:asciiTheme="majorBidi" w:eastAsia="Times New Roman" w:hAnsiTheme="majorBidi" w:cstheme="majorBidi"/>
        </w:rPr>
        <w:t xml:space="preserve">and polyurea/polydipsia (15.2%). The most involved organs were the bones, whether unifocal (60.6%) or multifocal (42.4%), skull bones (n = 12) most frequently affected bones, followed by </w:t>
      </w:r>
      <w:r>
        <w:rPr>
          <w:rFonts w:ascii="Times New Roman" w:eastAsia="Times New Roman" w:hAnsi="Times New Roman" w:cs="Times New Roman"/>
        </w:rPr>
        <w:t xml:space="preserve">the vertebrae (n = 6), and femur (n = 5). Other organs involved the soft tissue (45.5%) and </w:t>
      </w:r>
      <w:r w:rsidRPr="00D66AF1">
        <w:rPr>
          <w:rFonts w:asciiTheme="majorBidi" w:eastAsia="Times New Roman" w:hAnsiTheme="majorBidi" w:cstheme="majorBidi"/>
        </w:rPr>
        <w:t xml:space="preserve">liver (30.3%), with special site involvement of </w:t>
      </w:r>
      <w:r>
        <w:rPr>
          <w:rFonts w:ascii="Times New Roman" w:eastAsia="Times New Roman" w:hAnsi="Times New Roman" w:cs="Times New Roman"/>
        </w:rPr>
        <w:t>the CNS (45.5%) and vertebrae (18.2%). The laboratory results showed that almost two</w:t>
      </w:r>
      <w:r w:rsidRPr="00D66AF1">
        <w:rPr>
          <w:rFonts w:asciiTheme="majorBidi" w:eastAsia="Times New Roman" w:hAnsiTheme="majorBidi" w:cstheme="majorBidi"/>
        </w:rPr>
        <w:t>-thirds of the patients had ESR&gt;20, and (24.2%) with lower Hb level</w:t>
      </w:r>
      <w:r>
        <w:rPr>
          <w:rFonts w:ascii="Times New Roman" w:eastAsia="Times New Roman" w:hAnsi="Times New Roman" w:cs="Times New Roman"/>
        </w:rPr>
        <w:t xml:space="preserve">s, </w:t>
      </w:r>
      <w:r w:rsidRPr="00D66AF1">
        <w:rPr>
          <w:rFonts w:asciiTheme="majorBidi" w:eastAsia="Times New Roman" w:hAnsiTheme="majorBidi" w:cstheme="majorBidi"/>
        </w:rPr>
        <w:t>and 15.2% had increased bilirubin level</w:t>
      </w:r>
      <w:r>
        <w:rPr>
          <w:rFonts w:ascii="Times New Roman" w:eastAsia="Times New Roman" w:hAnsi="Times New Roman" w:cs="Times New Roman"/>
        </w:rPr>
        <w:t xml:space="preserve">s &gt;18. Fourteen patients (42.4%) had multisystem involvement, of which 13 patients (39.4%) </w:t>
      </w:r>
      <w:r w:rsidRPr="00D66AF1">
        <w:rPr>
          <w:rFonts w:asciiTheme="majorBidi" w:eastAsia="Times New Roman" w:hAnsiTheme="majorBidi" w:cstheme="majorBidi"/>
        </w:rPr>
        <w:t>had risk organ involvement (</w:t>
      </w:r>
      <w:r>
        <w:rPr>
          <w:rFonts w:ascii="Times New Roman" w:eastAsia="Times New Roman" w:hAnsi="Times New Roman" w:cs="Times New Roman"/>
        </w:rPr>
        <w:t xml:space="preserve">RO) (+) and one patient (3.0%) had no risk organ (RO) (-). Six patients (18.2%) with multisystem disease had 2 organs involvement, one patient (3.0%) had 3 organs, one patient (3.0%) had 4 organs, and six patients (33.3%) had 5 organs involvement. Twelve patients (36.4%) were staged as </w:t>
      </w:r>
      <w:r w:rsidR="00A24CB3">
        <w:rPr>
          <w:rFonts w:ascii="Times New Roman" w:eastAsia="Times New Roman" w:hAnsi="Times New Roman" w:cs="Times New Roman"/>
        </w:rPr>
        <w:t xml:space="preserve">single </w:t>
      </w:r>
      <w:r w:rsidR="00A24CB3">
        <w:rPr>
          <w:rFonts w:ascii="Times New Roman" w:eastAsia="Times New Roman" w:hAnsi="Times New Roman" w:cs="Times New Roman"/>
        </w:rPr>
        <w:lastRenderedPageBreak/>
        <w:t>system</w:t>
      </w:r>
      <w:r>
        <w:rPr>
          <w:rFonts w:ascii="Times New Roman" w:eastAsia="Times New Roman" w:hAnsi="Times New Roman" w:cs="Times New Roman"/>
        </w:rPr>
        <w:t xml:space="preserve"> unifocal, while seven patients (21.2%) were classified as multifocal single systems </w:t>
      </w:r>
      <w:r w:rsidRPr="00D66AF1">
        <w:rPr>
          <w:rFonts w:asciiTheme="majorBidi" w:eastAsia="Times New Roman" w:hAnsiTheme="majorBidi" w:cstheme="majorBidi"/>
          <w:b/>
          <w:bCs/>
        </w:rPr>
        <w:t>[Table 1]</w:t>
      </w:r>
      <w:r w:rsidRPr="00D66AF1">
        <w:rPr>
          <w:rFonts w:asciiTheme="majorBidi" w:eastAsia="Times New Roman" w:hAnsiTheme="majorBidi" w:cstheme="majorBidi"/>
        </w:rPr>
        <w:t xml:space="preserve">. </w:t>
      </w:r>
    </w:p>
    <w:p w14:paraId="66B787F5" w14:textId="77777777" w:rsidR="00A24CB3" w:rsidRDefault="00A24CB3" w:rsidP="00CC47BC">
      <w:pPr>
        <w:spacing w:before="100" w:beforeAutospacing="1" w:after="100" w:afterAutospacing="1"/>
        <w:ind w:firstLine="720"/>
        <w:jc w:val="both"/>
        <w:outlineLvl w:val="0"/>
        <w:rPr>
          <w:rFonts w:asciiTheme="majorBidi" w:eastAsia="Times New Roman" w:hAnsiTheme="majorBidi" w:cstheme="majorBidi"/>
        </w:rPr>
      </w:pPr>
    </w:p>
    <w:p w14:paraId="378D41E9" w14:textId="7F48657F" w:rsidR="00CC47BC" w:rsidRPr="00607C8A" w:rsidRDefault="005E46C3" w:rsidP="00CC47B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Table </w:t>
      </w:r>
      <w:r w:rsidRPr="00607C8A">
        <w:rPr>
          <w:rFonts w:ascii="Times New Roman" w:eastAsia="Times New Roman" w:hAnsi="Times New Roman" w:cs="Times New Roman"/>
          <w:color w:val="000000"/>
        </w:rPr>
        <w:fldChar w:fldCharType="begin"/>
      </w:r>
      <w:r w:rsidRPr="00607C8A">
        <w:rPr>
          <w:rFonts w:ascii="Times New Roman" w:eastAsia="Times New Roman" w:hAnsi="Times New Roman" w:cs="Times New Roman"/>
          <w:color w:val="000000"/>
        </w:rPr>
        <w:instrText xml:space="preserve"> SEQ Table \* ARABIC </w:instrText>
      </w:r>
      <w:r w:rsidRPr="00607C8A">
        <w:rPr>
          <w:rFonts w:ascii="Times New Roman" w:eastAsia="Times New Roman" w:hAnsi="Times New Roman" w:cs="Times New Roman"/>
          <w:color w:val="000000"/>
        </w:rPr>
        <w:fldChar w:fldCharType="separate"/>
      </w:r>
      <w:r w:rsidR="00E14269">
        <w:rPr>
          <w:rFonts w:ascii="Times New Roman" w:eastAsia="Times New Roman" w:hAnsi="Times New Roman" w:cs="Times New Roman"/>
          <w:noProof/>
          <w:color w:val="000000"/>
        </w:rPr>
        <w:t>2</w:t>
      </w:r>
      <w:r w:rsidRPr="00607C8A">
        <w:rPr>
          <w:rFonts w:ascii="Times New Roman" w:eastAsia="Times New Roman" w:hAnsi="Times New Roman" w:cs="Times New Roman"/>
          <w:noProof/>
          <w:color w:val="000000"/>
        </w:rPr>
        <w:fldChar w:fldCharType="end"/>
      </w:r>
      <w:r w:rsidRPr="00607C8A">
        <w:rPr>
          <w:rFonts w:ascii="Times New Roman" w:eastAsia="Times New Roman" w:hAnsi="Times New Roman" w:cs="Times New Roman"/>
          <w:color w:val="000000"/>
        </w:rPr>
        <w:t>: Comparing multisystem and single system involvement according to demographic characteristics and outcome.</w:t>
      </w:r>
    </w:p>
    <w:tbl>
      <w:tblPr>
        <w:tblW w:w="7993" w:type="dxa"/>
        <w:tblInd w:w="88" w:type="dxa"/>
        <w:tblLayout w:type="fixed"/>
        <w:tblLook w:val="0000" w:firstRow="0" w:lastRow="0" w:firstColumn="0" w:lastColumn="0" w:noHBand="0" w:noVBand="0"/>
      </w:tblPr>
      <w:tblGrid>
        <w:gridCol w:w="2464"/>
        <w:gridCol w:w="755"/>
        <w:gridCol w:w="1088"/>
        <w:gridCol w:w="709"/>
        <w:gridCol w:w="992"/>
        <w:gridCol w:w="851"/>
        <w:gridCol w:w="1134"/>
      </w:tblGrid>
      <w:tr w:rsidR="00B7002F" w14:paraId="37603AD9" w14:textId="77777777" w:rsidTr="00D87B20">
        <w:trPr>
          <w:trHeight w:val="255"/>
        </w:trPr>
        <w:tc>
          <w:tcPr>
            <w:tcW w:w="2464" w:type="dxa"/>
            <w:tcBorders>
              <w:top w:val="double" w:sz="4" w:space="0" w:color="auto"/>
              <w:left w:val="nil"/>
              <w:right w:val="nil"/>
            </w:tcBorders>
            <w:shd w:val="clear" w:color="auto" w:fill="auto"/>
            <w:noWrap/>
            <w:vAlign w:val="bottom"/>
          </w:tcPr>
          <w:p w14:paraId="4126641B" w14:textId="77777777" w:rsidR="00CC47BC" w:rsidRPr="00607C8A" w:rsidRDefault="00CC47BC" w:rsidP="00D87B20">
            <w:pPr>
              <w:jc w:val="both"/>
              <w:rPr>
                <w:rFonts w:asciiTheme="majorBidi" w:eastAsia="Times New Roman" w:hAnsiTheme="majorBidi" w:cstheme="majorBidi"/>
                <w:color w:val="000000"/>
              </w:rPr>
            </w:pPr>
          </w:p>
        </w:tc>
        <w:tc>
          <w:tcPr>
            <w:tcW w:w="3544" w:type="dxa"/>
            <w:gridSpan w:val="4"/>
            <w:tcBorders>
              <w:top w:val="double" w:sz="4" w:space="0" w:color="auto"/>
              <w:left w:val="nil"/>
              <w:bottom w:val="single" w:sz="18" w:space="0" w:color="auto"/>
              <w:right w:val="nil"/>
            </w:tcBorders>
            <w:shd w:val="clear" w:color="auto" w:fill="auto"/>
            <w:noWrap/>
            <w:vAlign w:val="bottom"/>
          </w:tcPr>
          <w:p w14:paraId="78DB3F30"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System involvement</w:t>
            </w:r>
          </w:p>
        </w:tc>
        <w:tc>
          <w:tcPr>
            <w:tcW w:w="851" w:type="dxa"/>
            <w:tcBorders>
              <w:top w:val="double" w:sz="4" w:space="0" w:color="auto"/>
              <w:left w:val="nil"/>
              <w:right w:val="nil"/>
            </w:tcBorders>
            <w:shd w:val="clear" w:color="auto" w:fill="auto"/>
            <w:noWrap/>
            <w:vAlign w:val="bottom"/>
          </w:tcPr>
          <w:p w14:paraId="0E141D69" w14:textId="77777777" w:rsidR="00CC47BC" w:rsidRPr="00607C8A" w:rsidRDefault="00CC47BC" w:rsidP="00D87B20">
            <w:pPr>
              <w:jc w:val="both"/>
              <w:rPr>
                <w:rFonts w:asciiTheme="majorBidi" w:eastAsia="Times New Roman" w:hAnsiTheme="majorBidi" w:cstheme="majorBidi"/>
                <w:color w:val="000000"/>
              </w:rPr>
            </w:pPr>
          </w:p>
        </w:tc>
        <w:tc>
          <w:tcPr>
            <w:tcW w:w="1134" w:type="dxa"/>
            <w:tcBorders>
              <w:top w:val="double" w:sz="4" w:space="0" w:color="auto"/>
              <w:left w:val="nil"/>
              <w:right w:val="nil"/>
            </w:tcBorders>
            <w:shd w:val="clear" w:color="auto" w:fill="auto"/>
            <w:noWrap/>
            <w:vAlign w:val="bottom"/>
          </w:tcPr>
          <w:p w14:paraId="34B8FA1F" w14:textId="77777777" w:rsidR="00CC47BC" w:rsidRPr="00607C8A" w:rsidRDefault="00CC47BC" w:rsidP="00D87B20">
            <w:pPr>
              <w:jc w:val="both"/>
              <w:rPr>
                <w:rFonts w:asciiTheme="majorBidi" w:eastAsia="Times New Roman" w:hAnsiTheme="majorBidi" w:cstheme="majorBidi"/>
                <w:color w:val="000000"/>
              </w:rPr>
            </w:pPr>
          </w:p>
        </w:tc>
      </w:tr>
      <w:tr w:rsidR="00B7002F" w14:paraId="2B8D1695" w14:textId="77777777" w:rsidTr="00D87B20">
        <w:trPr>
          <w:trHeight w:val="255"/>
        </w:trPr>
        <w:tc>
          <w:tcPr>
            <w:tcW w:w="2464" w:type="dxa"/>
            <w:tcBorders>
              <w:left w:val="nil"/>
              <w:right w:val="nil"/>
            </w:tcBorders>
            <w:shd w:val="clear" w:color="auto" w:fill="auto"/>
            <w:noWrap/>
            <w:vAlign w:val="bottom"/>
          </w:tcPr>
          <w:p w14:paraId="01BE6A88" w14:textId="77777777" w:rsidR="00CC47BC" w:rsidRPr="00607C8A" w:rsidRDefault="005E46C3" w:rsidP="00D87B20">
            <w:pPr>
              <w:ind w:right="458"/>
              <w:jc w:val="both"/>
              <w:rPr>
                <w:rFonts w:asciiTheme="majorBidi" w:eastAsia="Times New Roman" w:hAnsiTheme="majorBidi" w:cstheme="majorBidi"/>
                <w:color w:val="000000"/>
              </w:rPr>
            </w:pPr>
            <w:r w:rsidRPr="00607C8A">
              <w:rPr>
                <w:rFonts w:asciiTheme="majorBidi" w:eastAsia="Times New Roman" w:hAnsiTheme="majorBidi" w:cstheme="majorBidi"/>
                <w:color w:val="000000"/>
              </w:rPr>
              <w:t>Characteristics</w:t>
            </w:r>
          </w:p>
        </w:tc>
        <w:tc>
          <w:tcPr>
            <w:tcW w:w="1843" w:type="dxa"/>
            <w:gridSpan w:val="2"/>
            <w:tcBorders>
              <w:top w:val="single" w:sz="18" w:space="0" w:color="auto"/>
              <w:left w:val="nil"/>
              <w:bottom w:val="single" w:sz="18" w:space="0" w:color="auto"/>
              <w:right w:val="nil"/>
            </w:tcBorders>
            <w:shd w:val="clear" w:color="auto" w:fill="auto"/>
            <w:noWrap/>
            <w:vAlign w:val="center"/>
          </w:tcPr>
          <w:p w14:paraId="010992C4"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Multisystem</w:t>
            </w:r>
          </w:p>
          <w:p w14:paraId="675014E3"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(n=14)</w:t>
            </w:r>
          </w:p>
        </w:tc>
        <w:tc>
          <w:tcPr>
            <w:tcW w:w="1701" w:type="dxa"/>
            <w:gridSpan w:val="2"/>
            <w:tcBorders>
              <w:top w:val="single" w:sz="18" w:space="0" w:color="auto"/>
              <w:left w:val="nil"/>
              <w:bottom w:val="single" w:sz="18" w:space="0" w:color="auto"/>
              <w:right w:val="nil"/>
            </w:tcBorders>
            <w:shd w:val="clear" w:color="auto" w:fill="auto"/>
            <w:noWrap/>
            <w:vAlign w:val="center"/>
          </w:tcPr>
          <w:p w14:paraId="063E3555"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Single system</w:t>
            </w:r>
          </w:p>
          <w:p w14:paraId="1B90C1B1"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(n=19)</w:t>
            </w:r>
          </w:p>
        </w:tc>
        <w:tc>
          <w:tcPr>
            <w:tcW w:w="851" w:type="dxa"/>
            <w:tcBorders>
              <w:left w:val="nil"/>
              <w:right w:val="nil"/>
            </w:tcBorders>
            <w:shd w:val="clear" w:color="auto" w:fill="auto"/>
            <w:noWrap/>
            <w:vAlign w:val="center"/>
          </w:tcPr>
          <w:p w14:paraId="1B63658A"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i/>
                <w:iCs/>
                <w:color w:val="000000"/>
              </w:rPr>
              <w:t>X</w:t>
            </w:r>
            <w:r w:rsidRPr="00607C8A">
              <w:rPr>
                <w:rFonts w:asciiTheme="majorBidi" w:eastAsia="Times New Roman" w:hAnsiTheme="majorBidi" w:cstheme="majorBidi"/>
                <w:color w:val="000000"/>
                <w:vertAlign w:val="superscript"/>
              </w:rPr>
              <w:t>2</w:t>
            </w:r>
          </w:p>
        </w:tc>
        <w:tc>
          <w:tcPr>
            <w:tcW w:w="1134" w:type="dxa"/>
            <w:tcBorders>
              <w:left w:val="nil"/>
              <w:right w:val="nil"/>
            </w:tcBorders>
            <w:shd w:val="clear" w:color="auto" w:fill="auto"/>
            <w:noWrap/>
            <w:vAlign w:val="center"/>
          </w:tcPr>
          <w:p w14:paraId="4F3B287D"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P*</w:t>
            </w:r>
          </w:p>
        </w:tc>
      </w:tr>
      <w:tr w:rsidR="00B7002F" w14:paraId="3899F0D2" w14:textId="77777777" w:rsidTr="00D87B20">
        <w:trPr>
          <w:trHeight w:val="255"/>
        </w:trPr>
        <w:tc>
          <w:tcPr>
            <w:tcW w:w="2464" w:type="dxa"/>
            <w:tcBorders>
              <w:top w:val="nil"/>
              <w:left w:val="nil"/>
              <w:bottom w:val="single" w:sz="12" w:space="0" w:color="auto"/>
              <w:right w:val="nil"/>
            </w:tcBorders>
            <w:shd w:val="clear" w:color="auto" w:fill="auto"/>
            <w:noWrap/>
            <w:vAlign w:val="bottom"/>
          </w:tcPr>
          <w:p w14:paraId="5EA81D6E" w14:textId="77777777" w:rsidR="00CC47BC" w:rsidRPr="00607C8A" w:rsidRDefault="00CC47BC" w:rsidP="00D87B20">
            <w:pPr>
              <w:jc w:val="both"/>
              <w:rPr>
                <w:rFonts w:asciiTheme="majorBidi" w:eastAsia="Times New Roman" w:hAnsiTheme="majorBidi" w:cstheme="majorBidi"/>
                <w:color w:val="000000"/>
              </w:rPr>
            </w:pPr>
          </w:p>
        </w:tc>
        <w:tc>
          <w:tcPr>
            <w:tcW w:w="755" w:type="dxa"/>
            <w:tcBorders>
              <w:top w:val="single" w:sz="18" w:space="0" w:color="auto"/>
              <w:left w:val="nil"/>
              <w:bottom w:val="single" w:sz="12" w:space="0" w:color="auto"/>
              <w:right w:val="nil"/>
            </w:tcBorders>
            <w:shd w:val="clear" w:color="auto" w:fill="auto"/>
            <w:noWrap/>
            <w:vAlign w:val="bottom"/>
          </w:tcPr>
          <w:p w14:paraId="727DF3DA"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No</w:t>
            </w:r>
          </w:p>
        </w:tc>
        <w:tc>
          <w:tcPr>
            <w:tcW w:w="1088" w:type="dxa"/>
            <w:tcBorders>
              <w:top w:val="single" w:sz="18" w:space="0" w:color="auto"/>
              <w:left w:val="nil"/>
              <w:bottom w:val="single" w:sz="12" w:space="0" w:color="auto"/>
              <w:right w:val="nil"/>
            </w:tcBorders>
            <w:shd w:val="clear" w:color="auto" w:fill="auto"/>
            <w:noWrap/>
            <w:vAlign w:val="bottom"/>
          </w:tcPr>
          <w:p w14:paraId="6500EBCD"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w:t>
            </w:r>
          </w:p>
        </w:tc>
        <w:tc>
          <w:tcPr>
            <w:tcW w:w="709" w:type="dxa"/>
            <w:tcBorders>
              <w:top w:val="single" w:sz="18" w:space="0" w:color="auto"/>
              <w:left w:val="nil"/>
              <w:bottom w:val="single" w:sz="12" w:space="0" w:color="auto"/>
              <w:right w:val="nil"/>
            </w:tcBorders>
            <w:shd w:val="clear" w:color="auto" w:fill="auto"/>
            <w:noWrap/>
            <w:vAlign w:val="bottom"/>
          </w:tcPr>
          <w:p w14:paraId="6F63102E"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No</w:t>
            </w:r>
          </w:p>
        </w:tc>
        <w:tc>
          <w:tcPr>
            <w:tcW w:w="992" w:type="dxa"/>
            <w:tcBorders>
              <w:top w:val="single" w:sz="18" w:space="0" w:color="auto"/>
              <w:left w:val="nil"/>
              <w:bottom w:val="single" w:sz="12" w:space="0" w:color="auto"/>
              <w:right w:val="nil"/>
            </w:tcBorders>
            <w:shd w:val="clear" w:color="auto" w:fill="auto"/>
            <w:noWrap/>
            <w:vAlign w:val="bottom"/>
          </w:tcPr>
          <w:p w14:paraId="4670A674"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w:t>
            </w:r>
          </w:p>
        </w:tc>
        <w:tc>
          <w:tcPr>
            <w:tcW w:w="851" w:type="dxa"/>
            <w:tcBorders>
              <w:left w:val="nil"/>
              <w:bottom w:val="single" w:sz="12" w:space="0" w:color="auto"/>
              <w:right w:val="nil"/>
            </w:tcBorders>
            <w:shd w:val="clear" w:color="auto" w:fill="auto"/>
            <w:noWrap/>
            <w:vAlign w:val="bottom"/>
          </w:tcPr>
          <w:p w14:paraId="6AAE7FCA" w14:textId="77777777" w:rsidR="00CC47BC" w:rsidRPr="00607C8A" w:rsidRDefault="00CC47BC" w:rsidP="00D87B20">
            <w:pPr>
              <w:jc w:val="center"/>
              <w:rPr>
                <w:rFonts w:asciiTheme="majorBidi" w:eastAsia="Times New Roman" w:hAnsiTheme="majorBidi" w:cstheme="majorBidi"/>
                <w:color w:val="000000"/>
              </w:rPr>
            </w:pPr>
          </w:p>
        </w:tc>
        <w:tc>
          <w:tcPr>
            <w:tcW w:w="1134" w:type="dxa"/>
            <w:tcBorders>
              <w:left w:val="nil"/>
              <w:bottom w:val="single" w:sz="12" w:space="0" w:color="auto"/>
              <w:right w:val="nil"/>
            </w:tcBorders>
            <w:shd w:val="clear" w:color="auto" w:fill="auto"/>
            <w:noWrap/>
            <w:vAlign w:val="bottom"/>
          </w:tcPr>
          <w:p w14:paraId="43694572" w14:textId="77777777" w:rsidR="00CC47BC" w:rsidRPr="00607C8A" w:rsidRDefault="00CC47BC" w:rsidP="00D87B20">
            <w:pPr>
              <w:jc w:val="center"/>
              <w:rPr>
                <w:rFonts w:asciiTheme="majorBidi" w:eastAsia="Times New Roman" w:hAnsiTheme="majorBidi" w:cstheme="majorBidi"/>
                <w:color w:val="000000"/>
              </w:rPr>
            </w:pPr>
          </w:p>
        </w:tc>
      </w:tr>
      <w:tr w:rsidR="00B7002F" w14:paraId="4D0FABA4" w14:textId="77777777" w:rsidTr="00D87B20">
        <w:trPr>
          <w:trHeight w:val="255"/>
        </w:trPr>
        <w:tc>
          <w:tcPr>
            <w:tcW w:w="2464" w:type="dxa"/>
            <w:tcBorders>
              <w:top w:val="single" w:sz="12" w:space="0" w:color="auto"/>
              <w:left w:val="nil"/>
              <w:bottom w:val="nil"/>
              <w:right w:val="nil"/>
            </w:tcBorders>
            <w:shd w:val="clear" w:color="auto" w:fill="auto"/>
            <w:noWrap/>
          </w:tcPr>
          <w:p w14:paraId="04B869EE" w14:textId="77777777" w:rsidR="00CC47BC" w:rsidRPr="00607C8A" w:rsidRDefault="005E46C3" w:rsidP="00D87B20">
            <w:pPr>
              <w:rPr>
                <w:rFonts w:asciiTheme="majorBidi" w:eastAsia="Times New Roman" w:hAnsiTheme="majorBidi" w:cstheme="majorBidi"/>
                <w:color w:val="000000"/>
              </w:rPr>
            </w:pPr>
            <w:r w:rsidRPr="00607C8A">
              <w:rPr>
                <w:rFonts w:asciiTheme="majorBidi" w:eastAsia="Times New Roman" w:hAnsiTheme="majorBidi" w:cstheme="majorBidi"/>
                <w:b/>
                <w:bCs/>
                <w:i/>
                <w:iCs/>
                <w:color w:val="000000"/>
              </w:rPr>
              <w:t>Gender</w:t>
            </w:r>
            <w:r w:rsidRPr="00607C8A">
              <w:rPr>
                <w:rFonts w:asciiTheme="majorBidi" w:eastAsia="Times New Roman" w:hAnsiTheme="majorBidi" w:cstheme="majorBidi"/>
                <w:color w:val="000000"/>
              </w:rPr>
              <w:t>:</w:t>
            </w:r>
          </w:p>
        </w:tc>
        <w:tc>
          <w:tcPr>
            <w:tcW w:w="755" w:type="dxa"/>
            <w:tcBorders>
              <w:top w:val="single" w:sz="12" w:space="0" w:color="auto"/>
              <w:left w:val="nil"/>
              <w:bottom w:val="nil"/>
              <w:right w:val="nil"/>
            </w:tcBorders>
            <w:shd w:val="clear" w:color="auto" w:fill="auto"/>
            <w:noWrap/>
            <w:vAlign w:val="center"/>
          </w:tcPr>
          <w:p w14:paraId="31C4876F" w14:textId="77777777" w:rsidR="00CC47BC" w:rsidRPr="00607C8A" w:rsidRDefault="00CC47BC" w:rsidP="00D87B20">
            <w:pPr>
              <w:jc w:val="center"/>
              <w:rPr>
                <w:rFonts w:asciiTheme="majorBidi" w:eastAsia="Times New Roman" w:hAnsiTheme="majorBidi" w:cstheme="majorBidi"/>
                <w:color w:val="000000"/>
              </w:rPr>
            </w:pPr>
          </w:p>
        </w:tc>
        <w:tc>
          <w:tcPr>
            <w:tcW w:w="1088" w:type="dxa"/>
            <w:tcBorders>
              <w:top w:val="single" w:sz="12" w:space="0" w:color="auto"/>
              <w:left w:val="nil"/>
              <w:bottom w:val="nil"/>
              <w:right w:val="nil"/>
            </w:tcBorders>
            <w:shd w:val="clear" w:color="auto" w:fill="auto"/>
            <w:noWrap/>
            <w:vAlign w:val="center"/>
          </w:tcPr>
          <w:p w14:paraId="5B8C7B19" w14:textId="77777777" w:rsidR="00CC47BC" w:rsidRPr="00607C8A" w:rsidRDefault="00CC47BC" w:rsidP="00D87B20">
            <w:pPr>
              <w:jc w:val="center"/>
              <w:rPr>
                <w:rFonts w:asciiTheme="majorBidi" w:eastAsia="Times New Roman" w:hAnsiTheme="majorBidi" w:cstheme="majorBidi"/>
                <w:color w:val="000000"/>
              </w:rPr>
            </w:pPr>
          </w:p>
        </w:tc>
        <w:tc>
          <w:tcPr>
            <w:tcW w:w="709" w:type="dxa"/>
            <w:tcBorders>
              <w:top w:val="single" w:sz="12" w:space="0" w:color="auto"/>
              <w:left w:val="nil"/>
              <w:bottom w:val="nil"/>
              <w:right w:val="nil"/>
            </w:tcBorders>
            <w:shd w:val="clear" w:color="auto" w:fill="auto"/>
            <w:noWrap/>
            <w:vAlign w:val="center"/>
          </w:tcPr>
          <w:p w14:paraId="375B5CC1" w14:textId="77777777" w:rsidR="00CC47BC" w:rsidRPr="00607C8A" w:rsidRDefault="00CC47BC" w:rsidP="00D87B20">
            <w:pPr>
              <w:jc w:val="center"/>
              <w:rPr>
                <w:rFonts w:asciiTheme="majorBidi" w:eastAsia="Times New Roman" w:hAnsiTheme="majorBidi" w:cstheme="majorBidi"/>
                <w:color w:val="000000"/>
              </w:rPr>
            </w:pPr>
          </w:p>
        </w:tc>
        <w:tc>
          <w:tcPr>
            <w:tcW w:w="992" w:type="dxa"/>
            <w:tcBorders>
              <w:top w:val="single" w:sz="12" w:space="0" w:color="auto"/>
              <w:left w:val="nil"/>
              <w:bottom w:val="nil"/>
              <w:right w:val="nil"/>
            </w:tcBorders>
            <w:shd w:val="clear" w:color="auto" w:fill="auto"/>
            <w:noWrap/>
            <w:vAlign w:val="center"/>
          </w:tcPr>
          <w:p w14:paraId="47021674" w14:textId="77777777" w:rsidR="00CC47BC" w:rsidRPr="00607C8A" w:rsidRDefault="00CC47BC" w:rsidP="00D87B20">
            <w:pPr>
              <w:jc w:val="center"/>
              <w:rPr>
                <w:rFonts w:asciiTheme="majorBidi" w:eastAsia="Times New Roman" w:hAnsiTheme="majorBidi" w:cstheme="majorBidi"/>
                <w:color w:val="000000"/>
              </w:rPr>
            </w:pPr>
          </w:p>
        </w:tc>
        <w:tc>
          <w:tcPr>
            <w:tcW w:w="851" w:type="dxa"/>
            <w:vMerge w:val="restart"/>
            <w:tcBorders>
              <w:top w:val="single" w:sz="12" w:space="0" w:color="auto"/>
              <w:left w:val="nil"/>
              <w:right w:val="nil"/>
            </w:tcBorders>
            <w:shd w:val="clear" w:color="auto" w:fill="auto"/>
            <w:noWrap/>
            <w:vAlign w:val="center"/>
          </w:tcPr>
          <w:p w14:paraId="36243EC7" w14:textId="77777777" w:rsidR="00CC47BC" w:rsidRPr="00607C8A" w:rsidRDefault="00CC47BC" w:rsidP="00D87B20">
            <w:pPr>
              <w:jc w:val="center"/>
              <w:rPr>
                <w:rFonts w:asciiTheme="majorBidi" w:eastAsia="Times New Roman" w:hAnsiTheme="majorBidi" w:cstheme="majorBidi"/>
                <w:color w:val="000000"/>
              </w:rPr>
            </w:pPr>
          </w:p>
          <w:p w14:paraId="27891B95" w14:textId="77777777" w:rsidR="00CC47BC" w:rsidRPr="00607C8A" w:rsidRDefault="00CC47BC" w:rsidP="00D87B20">
            <w:pPr>
              <w:jc w:val="center"/>
              <w:rPr>
                <w:rFonts w:asciiTheme="majorBidi" w:eastAsia="Times New Roman" w:hAnsiTheme="majorBidi" w:cstheme="majorBidi"/>
                <w:color w:val="000000"/>
              </w:rPr>
            </w:pPr>
          </w:p>
          <w:p w14:paraId="51F3DAF3"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0.992</w:t>
            </w:r>
          </w:p>
        </w:tc>
        <w:tc>
          <w:tcPr>
            <w:tcW w:w="1134" w:type="dxa"/>
            <w:vMerge w:val="restart"/>
            <w:tcBorders>
              <w:top w:val="single" w:sz="12" w:space="0" w:color="auto"/>
              <w:left w:val="nil"/>
              <w:right w:val="nil"/>
            </w:tcBorders>
            <w:shd w:val="clear" w:color="auto" w:fill="auto"/>
            <w:noWrap/>
            <w:vAlign w:val="center"/>
          </w:tcPr>
          <w:p w14:paraId="1323827C" w14:textId="77777777" w:rsidR="00CC47BC" w:rsidRPr="00607C8A" w:rsidRDefault="00CC47BC" w:rsidP="00D87B20">
            <w:pPr>
              <w:jc w:val="center"/>
              <w:rPr>
                <w:rFonts w:asciiTheme="majorBidi" w:eastAsia="Times New Roman" w:hAnsiTheme="majorBidi" w:cstheme="majorBidi"/>
                <w:color w:val="000000"/>
              </w:rPr>
            </w:pPr>
          </w:p>
          <w:p w14:paraId="5451793B" w14:textId="77777777" w:rsidR="00CC47BC" w:rsidRPr="00607C8A" w:rsidRDefault="00CC47BC" w:rsidP="00D87B20">
            <w:pPr>
              <w:jc w:val="center"/>
              <w:rPr>
                <w:rFonts w:asciiTheme="majorBidi" w:eastAsia="Times New Roman" w:hAnsiTheme="majorBidi" w:cstheme="majorBidi"/>
                <w:color w:val="000000"/>
              </w:rPr>
            </w:pPr>
          </w:p>
          <w:p w14:paraId="54A4B063" w14:textId="77777777" w:rsidR="00CC47BC" w:rsidRPr="00607C8A" w:rsidRDefault="005E46C3" w:rsidP="00D87B20">
            <w:pPr>
              <w:jc w:val="center"/>
              <w:rPr>
                <w:rFonts w:asciiTheme="majorBidi" w:eastAsia="Times New Roman" w:hAnsiTheme="majorBidi" w:cstheme="majorBidi"/>
                <w:color w:val="000000"/>
                <w:rtl/>
              </w:rPr>
            </w:pPr>
            <w:r w:rsidRPr="00607C8A">
              <w:rPr>
                <w:rFonts w:asciiTheme="majorBidi" w:eastAsia="Times New Roman" w:hAnsiTheme="majorBidi" w:cstheme="majorBidi"/>
                <w:color w:val="000000"/>
              </w:rPr>
              <w:t>0.319</w:t>
            </w:r>
          </w:p>
        </w:tc>
      </w:tr>
      <w:tr w:rsidR="00B7002F" w14:paraId="6CA6CC58" w14:textId="77777777" w:rsidTr="00D87B20">
        <w:trPr>
          <w:trHeight w:val="255"/>
        </w:trPr>
        <w:tc>
          <w:tcPr>
            <w:tcW w:w="2464" w:type="dxa"/>
            <w:tcBorders>
              <w:top w:val="nil"/>
              <w:left w:val="nil"/>
              <w:bottom w:val="nil"/>
              <w:right w:val="nil"/>
            </w:tcBorders>
            <w:shd w:val="clear" w:color="auto" w:fill="auto"/>
            <w:noWrap/>
          </w:tcPr>
          <w:p w14:paraId="6D389F12" w14:textId="77777777" w:rsidR="00CC47BC" w:rsidRPr="00607C8A" w:rsidRDefault="005E46C3" w:rsidP="00D87B20">
            <w:pPr>
              <w:ind w:left="372"/>
              <w:rPr>
                <w:rFonts w:asciiTheme="majorBidi" w:eastAsia="Times New Roman" w:hAnsiTheme="majorBidi" w:cstheme="majorBidi"/>
                <w:color w:val="000000"/>
              </w:rPr>
            </w:pPr>
            <w:r w:rsidRPr="00607C8A">
              <w:rPr>
                <w:rFonts w:asciiTheme="majorBidi" w:eastAsia="Times New Roman" w:hAnsiTheme="majorBidi" w:cstheme="majorBidi"/>
                <w:color w:val="000000"/>
              </w:rPr>
              <w:t>Male</w:t>
            </w:r>
          </w:p>
        </w:tc>
        <w:tc>
          <w:tcPr>
            <w:tcW w:w="755" w:type="dxa"/>
            <w:tcBorders>
              <w:top w:val="nil"/>
              <w:left w:val="nil"/>
              <w:bottom w:val="nil"/>
              <w:right w:val="nil"/>
            </w:tcBorders>
            <w:shd w:val="clear" w:color="auto" w:fill="auto"/>
            <w:noWrap/>
            <w:vAlign w:val="center"/>
          </w:tcPr>
          <w:p w14:paraId="303B7658"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8</w:t>
            </w:r>
          </w:p>
        </w:tc>
        <w:tc>
          <w:tcPr>
            <w:tcW w:w="1088" w:type="dxa"/>
            <w:tcBorders>
              <w:top w:val="nil"/>
              <w:left w:val="nil"/>
              <w:bottom w:val="nil"/>
              <w:right w:val="nil"/>
            </w:tcBorders>
            <w:shd w:val="clear" w:color="auto" w:fill="auto"/>
            <w:noWrap/>
            <w:vAlign w:val="center"/>
          </w:tcPr>
          <w:p w14:paraId="7437CABC"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57.1%</w:t>
            </w:r>
          </w:p>
        </w:tc>
        <w:tc>
          <w:tcPr>
            <w:tcW w:w="709" w:type="dxa"/>
            <w:tcBorders>
              <w:top w:val="nil"/>
              <w:left w:val="nil"/>
              <w:bottom w:val="nil"/>
              <w:right w:val="nil"/>
            </w:tcBorders>
            <w:shd w:val="clear" w:color="auto" w:fill="auto"/>
            <w:noWrap/>
            <w:vAlign w:val="center"/>
          </w:tcPr>
          <w:p w14:paraId="1B69740D"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14</w:t>
            </w:r>
          </w:p>
        </w:tc>
        <w:tc>
          <w:tcPr>
            <w:tcW w:w="992" w:type="dxa"/>
            <w:tcBorders>
              <w:top w:val="nil"/>
              <w:left w:val="nil"/>
              <w:bottom w:val="nil"/>
              <w:right w:val="nil"/>
            </w:tcBorders>
            <w:shd w:val="clear" w:color="auto" w:fill="auto"/>
            <w:noWrap/>
            <w:vAlign w:val="center"/>
          </w:tcPr>
          <w:p w14:paraId="3795E3F9"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73.7%</w:t>
            </w:r>
          </w:p>
        </w:tc>
        <w:tc>
          <w:tcPr>
            <w:tcW w:w="851" w:type="dxa"/>
            <w:vMerge/>
            <w:tcBorders>
              <w:left w:val="nil"/>
              <w:right w:val="nil"/>
            </w:tcBorders>
            <w:shd w:val="clear" w:color="auto" w:fill="auto"/>
            <w:noWrap/>
            <w:vAlign w:val="bottom"/>
          </w:tcPr>
          <w:p w14:paraId="0C57ABB7" w14:textId="77777777" w:rsidR="00CC47BC" w:rsidRPr="00607C8A" w:rsidRDefault="00CC47BC" w:rsidP="00D87B20">
            <w:pPr>
              <w:jc w:val="center"/>
              <w:rPr>
                <w:rFonts w:asciiTheme="majorBidi" w:eastAsia="Times New Roman" w:hAnsiTheme="majorBidi" w:cstheme="majorBidi"/>
                <w:color w:val="000000"/>
              </w:rPr>
            </w:pPr>
          </w:p>
        </w:tc>
        <w:tc>
          <w:tcPr>
            <w:tcW w:w="1134" w:type="dxa"/>
            <w:vMerge/>
            <w:tcBorders>
              <w:left w:val="nil"/>
              <w:right w:val="nil"/>
            </w:tcBorders>
            <w:shd w:val="clear" w:color="auto" w:fill="auto"/>
            <w:noWrap/>
            <w:vAlign w:val="bottom"/>
          </w:tcPr>
          <w:p w14:paraId="1A63404F" w14:textId="77777777" w:rsidR="00CC47BC" w:rsidRPr="00607C8A" w:rsidRDefault="00CC47BC" w:rsidP="00D87B20">
            <w:pPr>
              <w:jc w:val="center"/>
              <w:rPr>
                <w:rFonts w:asciiTheme="majorBidi" w:eastAsia="Times New Roman" w:hAnsiTheme="majorBidi" w:cstheme="majorBidi"/>
                <w:color w:val="000000"/>
              </w:rPr>
            </w:pPr>
          </w:p>
        </w:tc>
      </w:tr>
      <w:tr w:rsidR="00B7002F" w14:paraId="050A39A1" w14:textId="77777777" w:rsidTr="00D87B20">
        <w:trPr>
          <w:trHeight w:val="255"/>
        </w:trPr>
        <w:tc>
          <w:tcPr>
            <w:tcW w:w="2464" w:type="dxa"/>
            <w:tcBorders>
              <w:top w:val="nil"/>
              <w:left w:val="nil"/>
              <w:bottom w:val="single" w:sz="12" w:space="0" w:color="auto"/>
              <w:right w:val="nil"/>
            </w:tcBorders>
            <w:shd w:val="clear" w:color="auto" w:fill="auto"/>
            <w:noWrap/>
          </w:tcPr>
          <w:p w14:paraId="55FA4E45" w14:textId="77777777" w:rsidR="00CC47BC" w:rsidRPr="00607C8A" w:rsidRDefault="005E46C3" w:rsidP="00D87B20">
            <w:pPr>
              <w:ind w:left="372"/>
              <w:rPr>
                <w:rFonts w:asciiTheme="majorBidi" w:eastAsia="Times New Roman" w:hAnsiTheme="majorBidi" w:cstheme="majorBidi"/>
                <w:color w:val="000000"/>
              </w:rPr>
            </w:pPr>
            <w:r w:rsidRPr="00607C8A">
              <w:rPr>
                <w:rFonts w:asciiTheme="majorBidi" w:eastAsia="Times New Roman" w:hAnsiTheme="majorBidi" w:cstheme="majorBidi"/>
                <w:color w:val="000000"/>
              </w:rPr>
              <w:t>Female</w:t>
            </w:r>
          </w:p>
        </w:tc>
        <w:tc>
          <w:tcPr>
            <w:tcW w:w="755" w:type="dxa"/>
            <w:tcBorders>
              <w:top w:val="nil"/>
              <w:left w:val="nil"/>
              <w:bottom w:val="single" w:sz="12" w:space="0" w:color="auto"/>
              <w:right w:val="nil"/>
            </w:tcBorders>
            <w:shd w:val="clear" w:color="auto" w:fill="auto"/>
            <w:noWrap/>
            <w:vAlign w:val="center"/>
          </w:tcPr>
          <w:p w14:paraId="7E99821B"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6</w:t>
            </w:r>
          </w:p>
        </w:tc>
        <w:tc>
          <w:tcPr>
            <w:tcW w:w="1088" w:type="dxa"/>
            <w:tcBorders>
              <w:top w:val="nil"/>
              <w:left w:val="nil"/>
              <w:bottom w:val="single" w:sz="12" w:space="0" w:color="auto"/>
              <w:right w:val="nil"/>
            </w:tcBorders>
            <w:shd w:val="clear" w:color="auto" w:fill="auto"/>
            <w:noWrap/>
            <w:vAlign w:val="center"/>
          </w:tcPr>
          <w:p w14:paraId="62214C3A"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42.9%</w:t>
            </w:r>
          </w:p>
        </w:tc>
        <w:tc>
          <w:tcPr>
            <w:tcW w:w="709" w:type="dxa"/>
            <w:tcBorders>
              <w:top w:val="nil"/>
              <w:left w:val="nil"/>
              <w:bottom w:val="single" w:sz="12" w:space="0" w:color="auto"/>
              <w:right w:val="nil"/>
            </w:tcBorders>
            <w:shd w:val="clear" w:color="auto" w:fill="auto"/>
            <w:noWrap/>
            <w:vAlign w:val="center"/>
          </w:tcPr>
          <w:p w14:paraId="3276482E"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5</w:t>
            </w:r>
          </w:p>
        </w:tc>
        <w:tc>
          <w:tcPr>
            <w:tcW w:w="992" w:type="dxa"/>
            <w:tcBorders>
              <w:top w:val="nil"/>
              <w:left w:val="nil"/>
              <w:bottom w:val="single" w:sz="12" w:space="0" w:color="auto"/>
              <w:right w:val="nil"/>
            </w:tcBorders>
            <w:shd w:val="clear" w:color="auto" w:fill="auto"/>
            <w:noWrap/>
            <w:vAlign w:val="center"/>
          </w:tcPr>
          <w:p w14:paraId="7EBBD0E4"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26.3%</w:t>
            </w:r>
          </w:p>
        </w:tc>
        <w:tc>
          <w:tcPr>
            <w:tcW w:w="851" w:type="dxa"/>
            <w:vMerge/>
            <w:tcBorders>
              <w:left w:val="nil"/>
              <w:bottom w:val="single" w:sz="12" w:space="0" w:color="auto"/>
              <w:right w:val="nil"/>
            </w:tcBorders>
            <w:shd w:val="clear" w:color="auto" w:fill="auto"/>
            <w:noWrap/>
            <w:vAlign w:val="bottom"/>
          </w:tcPr>
          <w:p w14:paraId="0649C646" w14:textId="77777777" w:rsidR="00CC47BC" w:rsidRPr="00607C8A" w:rsidRDefault="00CC47BC" w:rsidP="00D87B20">
            <w:pPr>
              <w:jc w:val="center"/>
              <w:rPr>
                <w:rFonts w:asciiTheme="majorBidi" w:eastAsia="Times New Roman" w:hAnsiTheme="majorBidi" w:cstheme="majorBidi"/>
                <w:color w:val="000000"/>
              </w:rPr>
            </w:pPr>
          </w:p>
        </w:tc>
        <w:tc>
          <w:tcPr>
            <w:tcW w:w="1134" w:type="dxa"/>
            <w:vMerge/>
            <w:tcBorders>
              <w:left w:val="nil"/>
              <w:bottom w:val="single" w:sz="12" w:space="0" w:color="auto"/>
              <w:right w:val="nil"/>
            </w:tcBorders>
            <w:shd w:val="clear" w:color="auto" w:fill="auto"/>
            <w:noWrap/>
            <w:vAlign w:val="bottom"/>
          </w:tcPr>
          <w:p w14:paraId="57482041" w14:textId="77777777" w:rsidR="00CC47BC" w:rsidRPr="00607C8A" w:rsidRDefault="00CC47BC" w:rsidP="00D87B20">
            <w:pPr>
              <w:jc w:val="center"/>
              <w:rPr>
                <w:rFonts w:asciiTheme="majorBidi" w:eastAsia="Times New Roman" w:hAnsiTheme="majorBidi" w:cstheme="majorBidi"/>
                <w:color w:val="000000"/>
              </w:rPr>
            </w:pPr>
          </w:p>
        </w:tc>
      </w:tr>
      <w:tr w:rsidR="00B7002F" w14:paraId="3CFC949B" w14:textId="77777777" w:rsidTr="00D87B20">
        <w:trPr>
          <w:trHeight w:val="255"/>
        </w:trPr>
        <w:tc>
          <w:tcPr>
            <w:tcW w:w="2464" w:type="dxa"/>
            <w:tcBorders>
              <w:top w:val="single" w:sz="12" w:space="0" w:color="auto"/>
              <w:left w:val="nil"/>
              <w:bottom w:val="nil"/>
              <w:right w:val="nil"/>
            </w:tcBorders>
            <w:shd w:val="clear" w:color="auto" w:fill="auto"/>
            <w:noWrap/>
          </w:tcPr>
          <w:p w14:paraId="74518B0F" w14:textId="77777777" w:rsidR="00CC47BC" w:rsidRPr="00607C8A" w:rsidRDefault="005E46C3" w:rsidP="00D87B20">
            <w:pPr>
              <w:rPr>
                <w:rFonts w:asciiTheme="majorBidi" w:eastAsia="Times New Roman" w:hAnsiTheme="majorBidi" w:cstheme="majorBidi"/>
              </w:rPr>
            </w:pPr>
            <w:r w:rsidRPr="00607C8A">
              <w:rPr>
                <w:rFonts w:asciiTheme="majorBidi" w:eastAsia="Times New Roman" w:hAnsiTheme="majorBidi" w:cstheme="majorBidi"/>
                <w:b/>
                <w:bCs/>
                <w:i/>
                <w:iCs/>
              </w:rPr>
              <w:t>Age categories:</w:t>
            </w:r>
          </w:p>
        </w:tc>
        <w:tc>
          <w:tcPr>
            <w:tcW w:w="755" w:type="dxa"/>
            <w:tcBorders>
              <w:top w:val="single" w:sz="12" w:space="0" w:color="auto"/>
              <w:left w:val="nil"/>
              <w:bottom w:val="nil"/>
              <w:right w:val="nil"/>
            </w:tcBorders>
            <w:shd w:val="clear" w:color="auto" w:fill="auto"/>
            <w:noWrap/>
            <w:vAlign w:val="center"/>
          </w:tcPr>
          <w:p w14:paraId="7750B9C7" w14:textId="77777777" w:rsidR="00CC47BC" w:rsidRPr="00607C8A" w:rsidRDefault="00CC47BC" w:rsidP="00D87B20">
            <w:pPr>
              <w:jc w:val="center"/>
              <w:rPr>
                <w:rFonts w:asciiTheme="majorBidi" w:eastAsia="Times New Roman" w:hAnsiTheme="majorBidi" w:cstheme="majorBidi"/>
                <w:color w:val="000000"/>
              </w:rPr>
            </w:pPr>
          </w:p>
        </w:tc>
        <w:tc>
          <w:tcPr>
            <w:tcW w:w="1088" w:type="dxa"/>
            <w:tcBorders>
              <w:top w:val="single" w:sz="12" w:space="0" w:color="auto"/>
              <w:left w:val="nil"/>
              <w:bottom w:val="nil"/>
              <w:right w:val="nil"/>
            </w:tcBorders>
            <w:shd w:val="clear" w:color="auto" w:fill="auto"/>
            <w:noWrap/>
            <w:vAlign w:val="center"/>
          </w:tcPr>
          <w:p w14:paraId="6EF406E5" w14:textId="77777777" w:rsidR="00CC47BC" w:rsidRPr="00607C8A" w:rsidRDefault="00CC47BC" w:rsidP="00D87B20">
            <w:pPr>
              <w:jc w:val="center"/>
              <w:rPr>
                <w:rFonts w:asciiTheme="majorBidi" w:eastAsia="Times New Roman" w:hAnsiTheme="majorBidi" w:cstheme="majorBidi"/>
                <w:color w:val="000000"/>
              </w:rPr>
            </w:pPr>
          </w:p>
        </w:tc>
        <w:tc>
          <w:tcPr>
            <w:tcW w:w="709" w:type="dxa"/>
            <w:tcBorders>
              <w:top w:val="single" w:sz="12" w:space="0" w:color="auto"/>
              <w:left w:val="nil"/>
              <w:bottom w:val="nil"/>
              <w:right w:val="nil"/>
            </w:tcBorders>
            <w:shd w:val="clear" w:color="auto" w:fill="auto"/>
            <w:noWrap/>
            <w:vAlign w:val="center"/>
          </w:tcPr>
          <w:p w14:paraId="22B965EC" w14:textId="77777777" w:rsidR="00CC47BC" w:rsidRPr="00607C8A" w:rsidRDefault="00CC47BC" w:rsidP="00D87B20">
            <w:pPr>
              <w:jc w:val="center"/>
              <w:rPr>
                <w:rFonts w:asciiTheme="majorBidi" w:eastAsia="Times New Roman" w:hAnsiTheme="majorBidi" w:cstheme="majorBidi"/>
                <w:color w:val="000000"/>
              </w:rPr>
            </w:pPr>
          </w:p>
        </w:tc>
        <w:tc>
          <w:tcPr>
            <w:tcW w:w="992" w:type="dxa"/>
            <w:tcBorders>
              <w:top w:val="single" w:sz="12" w:space="0" w:color="auto"/>
              <w:left w:val="nil"/>
              <w:bottom w:val="nil"/>
              <w:right w:val="nil"/>
            </w:tcBorders>
            <w:shd w:val="clear" w:color="auto" w:fill="auto"/>
            <w:noWrap/>
            <w:vAlign w:val="center"/>
          </w:tcPr>
          <w:p w14:paraId="3D87C369" w14:textId="77777777" w:rsidR="00CC47BC" w:rsidRPr="00607C8A" w:rsidRDefault="00CC47BC" w:rsidP="00D87B20">
            <w:pPr>
              <w:jc w:val="center"/>
              <w:rPr>
                <w:rFonts w:asciiTheme="majorBidi" w:eastAsia="Times New Roman" w:hAnsiTheme="majorBidi" w:cstheme="majorBidi"/>
                <w:color w:val="000000"/>
              </w:rPr>
            </w:pPr>
          </w:p>
        </w:tc>
        <w:tc>
          <w:tcPr>
            <w:tcW w:w="851" w:type="dxa"/>
            <w:vMerge w:val="restart"/>
            <w:tcBorders>
              <w:top w:val="single" w:sz="12" w:space="0" w:color="auto"/>
              <w:left w:val="nil"/>
              <w:right w:val="nil"/>
            </w:tcBorders>
            <w:shd w:val="clear" w:color="auto" w:fill="auto"/>
            <w:noWrap/>
            <w:vAlign w:val="center"/>
          </w:tcPr>
          <w:p w14:paraId="1C606139" w14:textId="77777777" w:rsidR="00CC47BC" w:rsidRPr="00607C8A" w:rsidRDefault="00CC47BC" w:rsidP="00D87B20">
            <w:pPr>
              <w:jc w:val="center"/>
              <w:rPr>
                <w:rFonts w:asciiTheme="majorBidi" w:eastAsia="Times New Roman" w:hAnsiTheme="majorBidi" w:cstheme="majorBidi"/>
                <w:color w:val="000000"/>
              </w:rPr>
            </w:pPr>
          </w:p>
          <w:p w14:paraId="387E8586" w14:textId="77777777" w:rsidR="00CC47BC" w:rsidRPr="00607C8A" w:rsidRDefault="00CC47BC" w:rsidP="00D87B20">
            <w:pPr>
              <w:jc w:val="center"/>
              <w:rPr>
                <w:rFonts w:asciiTheme="majorBidi" w:eastAsia="Times New Roman" w:hAnsiTheme="majorBidi" w:cstheme="majorBidi"/>
                <w:color w:val="000000"/>
              </w:rPr>
            </w:pPr>
          </w:p>
          <w:p w14:paraId="68D539E6"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8.375</w:t>
            </w:r>
          </w:p>
        </w:tc>
        <w:tc>
          <w:tcPr>
            <w:tcW w:w="1134" w:type="dxa"/>
            <w:vMerge w:val="restart"/>
            <w:tcBorders>
              <w:top w:val="single" w:sz="12" w:space="0" w:color="auto"/>
              <w:left w:val="nil"/>
              <w:right w:val="nil"/>
            </w:tcBorders>
            <w:shd w:val="clear" w:color="auto" w:fill="auto"/>
            <w:noWrap/>
            <w:vAlign w:val="center"/>
          </w:tcPr>
          <w:p w14:paraId="571B0CB0" w14:textId="77777777" w:rsidR="00CC47BC" w:rsidRPr="00607C8A" w:rsidRDefault="00CC47BC" w:rsidP="00D87B20">
            <w:pPr>
              <w:jc w:val="center"/>
              <w:rPr>
                <w:rFonts w:asciiTheme="majorBidi" w:eastAsia="Times New Roman" w:hAnsiTheme="majorBidi" w:cstheme="majorBidi"/>
                <w:color w:val="000000"/>
              </w:rPr>
            </w:pPr>
          </w:p>
          <w:p w14:paraId="43C29780" w14:textId="77777777" w:rsidR="00CC47BC" w:rsidRPr="00607C8A" w:rsidRDefault="00CC47BC" w:rsidP="00D87B20">
            <w:pPr>
              <w:jc w:val="center"/>
              <w:rPr>
                <w:rFonts w:asciiTheme="majorBidi" w:eastAsia="Times New Roman" w:hAnsiTheme="majorBidi" w:cstheme="majorBidi"/>
                <w:color w:val="000000"/>
              </w:rPr>
            </w:pPr>
          </w:p>
          <w:p w14:paraId="1B3AE1FE"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0.004**</w:t>
            </w:r>
          </w:p>
        </w:tc>
      </w:tr>
      <w:tr w:rsidR="00B7002F" w14:paraId="10695D58" w14:textId="77777777" w:rsidTr="00D87B20">
        <w:trPr>
          <w:trHeight w:val="255"/>
        </w:trPr>
        <w:tc>
          <w:tcPr>
            <w:tcW w:w="2464" w:type="dxa"/>
            <w:tcBorders>
              <w:top w:val="nil"/>
              <w:left w:val="nil"/>
              <w:bottom w:val="nil"/>
              <w:right w:val="nil"/>
            </w:tcBorders>
            <w:shd w:val="clear" w:color="auto" w:fill="auto"/>
            <w:noWrap/>
            <w:vAlign w:val="center"/>
          </w:tcPr>
          <w:p w14:paraId="40DDD527" w14:textId="77777777" w:rsidR="00CC47BC" w:rsidRPr="00607C8A" w:rsidRDefault="005E46C3" w:rsidP="00D87B20">
            <w:pPr>
              <w:ind w:left="372"/>
              <w:rPr>
                <w:rFonts w:asciiTheme="majorBidi" w:eastAsia="Times New Roman" w:hAnsiTheme="majorBidi" w:cstheme="majorBidi"/>
                <w:color w:val="000000"/>
              </w:rPr>
            </w:pPr>
            <w:r w:rsidRPr="00607C8A">
              <w:rPr>
                <w:rFonts w:asciiTheme="majorBidi" w:eastAsia="Times New Roman" w:hAnsiTheme="majorBidi" w:cstheme="majorBidi"/>
                <w:color w:val="000000"/>
              </w:rPr>
              <w:t>&lt;24 months</w:t>
            </w:r>
          </w:p>
        </w:tc>
        <w:tc>
          <w:tcPr>
            <w:tcW w:w="755" w:type="dxa"/>
            <w:tcBorders>
              <w:top w:val="nil"/>
              <w:left w:val="nil"/>
              <w:bottom w:val="nil"/>
              <w:right w:val="nil"/>
            </w:tcBorders>
            <w:shd w:val="clear" w:color="auto" w:fill="auto"/>
            <w:noWrap/>
            <w:vAlign w:val="center"/>
          </w:tcPr>
          <w:p w14:paraId="194700A7"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10</w:t>
            </w:r>
          </w:p>
        </w:tc>
        <w:tc>
          <w:tcPr>
            <w:tcW w:w="1088" w:type="dxa"/>
            <w:tcBorders>
              <w:top w:val="nil"/>
              <w:left w:val="nil"/>
              <w:bottom w:val="nil"/>
              <w:right w:val="nil"/>
            </w:tcBorders>
            <w:shd w:val="clear" w:color="auto" w:fill="auto"/>
            <w:noWrap/>
            <w:vAlign w:val="center"/>
          </w:tcPr>
          <w:p w14:paraId="53F0C515"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71.4%</w:t>
            </w:r>
          </w:p>
        </w:tc>
        <w:tc>
          <w:tcPr>
            <w:tcW w:w="709" w:type="dxa"/>
            <w:tcBorders>
              <w:top w:val="nil"/>
              <w:left w:val="nil"/>
              <w:bottom w:val="nil"/>
              <w:right w:val="nil"/>
            </w:tcBorders>
            <w:shd w:val="clear" w:color="auto" w:fill="auto"/>
            <w:noWrap/>
            <w:vAlign w:val="center"/>
          </w:tcPr>
          <w:p w14:paraId="56C59C3B"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4</w:t>
            </w:r>
          </w:p>
        </w:tc>
        <w:tc>
          <w:tcPr>
            <w:tcW w:w="992" w:type="dxa"/>
            <w:tcBorders>
              <w:top w:val="nil"/>
              <w:left w:val="nil"/>
              <w:bottom w:val="nil"/>
              <w:right w:val="nil"/>
            </w:tcBorders>
            <w:shd w:val="clear" w:color="auto" w:fill="auto"/>
            <w:noWrap/>
            <w:vAlign w:val="center"/>
          </w:tcPr>
          <w:p w14:paraId="760768F5"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21.1%</w:t>
            </w:r>
          </w:p>
        </w:tc>
        <w:tc>
          <w:tcPr>
            <w:tcW w:w="851" w:type="dxa"/>
            <w:vMerge/>
            <w:tcBorders>
              <w:left w:val="nil"/>
              <w:right w:val="nil"/>
            </w:tcBorders>
            <w:shd w:val="clear" w:color="auto" w:fill="auto"/>
            <w:noWrap/>
            <w:vAlign w:val="bottom"/>
          </w:tcPr>
          <w:p w14:paraId="155283EE" w14:textId="77777777" w:rsidR="00CC47BC" w:rsidRPr="00607C8A" w:rsidRDefault="00CC47BC" w:rsidP="00D87B20">
            <w:pPr>
              <w:jc w:val="center"/>
              <w:rPr>
                <w:rFonts w:asciiTheme="majorBidi" w:eastAsia="Times New Roman" w:hAnsiTheme="majorBidi" w:cstheme="majorBidi"/>
                <w:color w:val="000000"/>
              </w:rPr>
            </w:pPr>
          </w:p>
        </w:tc>
        <w:tc>
          <w:tcPr>
            <w:tcW w:w="1134" w:type="dxa"/>
            <w:vMerge/>
            <w:tcBorders>
              <w:left w:val="nil"/>
              <w:right w:val="nil"/>
            </w:tcBorders>
            <w:shd w:val="clear" w:color="auto" w:fill="auto"/>
            <w:noWrap/>
            <w:vAlign w:val="bottom"/>
          </w:tcPr>
          <w:p w14:paraId="199BFDEE" w14:textId="77777777" w:rsidR="00CC47BC" w:rsidRPr="00607C8A" w:rsidRDefault="00CC47BC" w:rsidP="00D87B20">
            <w:pPr>
              <w:jc w:val="center"/>
              <w:rPr>
                <w:rFonts w:asciiTheme="majorBidi" w:eastAsia="Times New Roman" w:hAnsiTheme="majorBidi" w:cstheme="majorBidi"/>
                <w:color w:val="000000"/>
              </w:rPr>
            </w:pPr>
          </w:p>
        </w:tc>
      </w:tr>
      <w:tr w:rsidR="00B7002F" w14:paraId="36EA5136" w14:textId="77777777" w:rsidTr="00D87B20">
        <w:trPr>
          <w:trHeight w:val="255"/>
        </w:trPr>
        <w:tc>
          <w:tcPr>
            <w:tcW w:w="2464" w:type="dxa"/>
            <w:tcBorders>
              <w:top w:val="nil"/>
              <w:left w:val="nil"/>
              <w:bottom w:val="single" w:sz="12" w:space="0" w:color="auto"/>
              <w:right w:val="nil"/>
            </w:tcBorders>
            <w:shd w:val="clear" w:color="auto" w:fill="auto"/>
            <w:noWrap/>
            <w:vAlign w:val="center"/>
          </w:tcPr>
          <w:p w14:paraId="352EB031" w14:textId="77777777" w:rsidR="00CC47BC" w:rsidRPr="00607C8A" w:rsidRDefault="005E46C3" w:rsidP="00D87B20">
            <w:pPr>
              <w:ind w:left="372"/>
              <w:rPr>
                <w:rFonts w:asciiTheme="majorBidi" w:eastAsia="Times New Roman" w:hAnsiTheme="majorBidi" w:cstheme="majorBidi"/>
                <w:color w:val="000000"/>
              </w:rPr>
            </w:pPr>
            <w:r w:rsidRPr="00607C8A">
              <w:rPr>
                <w:rFonts w:asciiTheme="majorBidi" w:eastAsia="Times New Roman" w:hAnsiTheme="majorBidi" w:cstheme="majorBidi"/>
                <w:color w:val="000000"/>
                <w:u w:val="single"/>
              </w:rPr>
              <w:t>&gt;</w:t>
            </w:r>
            <w:r w:rsidRPr="00607C8A">
              <w:rPr>
                <w:rFonts w:asciiTheme="majorBidi" w:eastAsia="Times New Roman" w:hAnsiTheme="majorBidi" w:cstheme="majorBidi"/>
                <w:color w:val="000000"/>
              </w:rPr>
              <w:t>24 months</w:t>
            </w:r>
          </w:p>
        </w:tc>
        <w:tc>
          <w:tcPr>
            <w:tcW w:w="755" w:type="dxa"/>
            <w:tcBorders>
              <w:top w:val="nil"/>
              <w:left w:val="nil"/>
              <w:bottom w:val="single" w:sz="12" w:space="0" w:color="auto"/>
              <w:right w:val="nil"/>
            </w:tcBorders>
            <w:shd w:val="clear" w:color="auto" w:fill="auto"/>
            <w:noWrap/>
            <w:vAlign w:val="center"/>
          </w:tcPr>
          <w:p w14:paraId="5B2A1C9E"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4</w:t>
            </w:r>
          </w:p>
        </w:tc>
        <w:tc>
          <w:tcPr>
            <w:tcW w:w="1088" w:type="dxa"/>
            <w:tcBorders>
              <w:top w:val="nil"/>
              <w:left w:val="nil"/>
              <w:bottom w:val="single" w:sz="12" w:space="0" w:color="auto"/>
              <w:right w:val="nil"/>
            </w:tcBorders>
            <w:shd w:val="clear" w:color="auto" w:fill="auto"/>
            <w:noWrap/>
            <w:vAlign w:val="center"/>
          </w:tcPr>
          <w:p w14:paraId="7998CAE9"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28.6%</w:t>
            </w:r>
          </w:p>
        </w:tc>
        <w:tc>
          <w:tcPr>
            <w:tcW w:w="709" w:type="dxa"/>
            <w:tcBorders>
              <w:top w:val="nil"/>
              <w:left w:val="nil"/>
              <w:bottom w:val="single" w:sz="12" w:space="0" w:color="auto"/>
              <w:right w:val="nil"/>
            </w:tcBorders>
            <w:shd w:val="clear" w:color="auto" w:fill="auto"/>
            <w:noWrap/>
            <w:vAlign w:val="center"/>
          </w:tcPr>
          <w:p w14:paraId="75AD53F6"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15</w:t>
            </w:r>
          </w:p>
        </w:tc>
        <w:tc>
          <w:tcPr>
            <w:tcW w:w="992" w:type="dxa"/>
            <w:tcBorders>
              <w:top w:val="nil"/>
              <w:left w:val="nil"/>
              <w:bottom w:val="single" w:sz="12" w:space="0" w:color="auto"/>
              <w:right w:val="nil"/>
            </w:tcBorders>
            <w:shd w:val="clear" w:color="auto" w:fill="auto"/>
            <w:noWrap/>
            <w:vAlign w:val="center"/>
          </w:tcPr>
          <w:p w14:paraId="157B065F"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78.9%</w:t>
            </w:r>
          </w:p>
        </w:tc>
        <w:tc>
          <w:tcPr>
            <w:tcW w:w="851" w:type="dxa"/>
            <w:vMerge/>
            <w:tcBorders>
              <w:left w:val="nil"/>
              <w:bottom w:val="single" w:sz="12" w:space="0" w:color="auto"/>
              <w:right w:val="nil"/>
            </w:tcBorders>
            <w:shd w:val="clear" w:color="auto" w:fill="auto"/>
            <w:noWrap/>
            <w:vAlign w:val="bottom"/>
          </w:tcPr>
          <w:p w14:paraId="2BB023AF" w14:textId="77777777" w:rsidR="00CC47BC" w:rsidRPr="00607C8A" w:rsidRDefault="00CC47BC" w:rsidP="00D87B20">
            <w:pPr>
              <w:jc w:val="center"/>
              <w:rPr>
                <w:rFonts w:asciiTheme="majorBidi" w:eastAsia="Times New Roman" w:hAnsiTheme="majorBidi" w:cstheme="majorBidi"/>
                <w:color w:val="000000"/>
              </w:rPr>
            </w:pPr>
          </w:p>
        </w:tc>
        <w:tc>
          <w:tcPr>
            <w:tcW w:w="1134" w:type="dxa"/>
            <w:vMerge/>
            <w:tcBorders>
              <w:left w:val="nil"/>
              <w:bottom w:val="single" w:sz="12" w:space="0" w:color="auto"/>
              <w:right w:val="nil"/>
            </w:tcBorders>
            <w:shd w:val="clear" w:color="auto" w:fill="auto"/>
            <w:noWrap/>
            <w:vAlign w:val="bottom"/>
          </w:tcPr>
          <w:p w14:paraId="1F55BAC1" w14:textId="77777777" w:rsidR="00CC47BC" w:rsidRPr="00607C8A" w:rsidRDefault="00CC47BC" w:rsidP="00D87B20">
            <w:pPr>
              <w:jc w:val="center"/>
              <w:rPr>
                <w:rFonts w:asciiTheme="majorBidi" w:eastAsia="Times New Roman" w:hAnsiTheme="majorBidi" w:cstheme="majorBidi"/>
                <w:color w:val="000000"/>
              </w:rPr>
            </w:pPr>
          </w:p>
        </w:tc>
      </w:tr>
      <w:tr w:rsidR="00B7002F" w14:paraId="53F9EF34" w14:textId="77777777" w:rsidTr="00D87B20">
        <w:trPr>
          <w:trHeight w:val="255"/>
        </w:trPr>
        <w:tc>
          <w:tcPr>
            <w:tcW w:w="2464" w:type="dxa"/>
            <w:tcBorders>
              <w:top w:val="single" w:sz="12" w:space="0" w:color="auto"/>
              <w:left w:val="nil"/>
              <w:bottom w:val="nil"/>
              <w:right w:val="nil"/>
            </w:tcBorders>
            <w:shd w:val="clear" w:color="auto" w:fill="auto"/>
            <w:noWrap/>
          </w:tcPr>
          <w:p w14:paraId="563A48F3" w14:textId="77777777" w:rsidR="00CC47BC" w:rsidRPr="00607C8A" w:rsidRDefault="005E46C3" w:rsidP="00D87B20">
            <w:pPr>
              <w:rPr>
                <w:rFonts w:asciiTheme="majorBidi" w:eastAsia="Times New Roman" w:hAnsiTheme="majorBidi" w:cstheme="majorBidi"/>
              </w:rPr>
            </w:pPr>
            <w:r w:rsidRPr="00607C8A">
              <w:rPr>
                <w:rFonts w:asciiTheme="majorBidi" w:eastAsia="Times New Roman" w:hAnsiTheme="majorBidi" w:cstheme="majorBidi"/>
                <w:b/>
                <w:bCs/>
                <w:i/>
                <w:iCs/>
              </w:rPr>
              <w:t>Reactivation:</w:t>
            </w:r>
          </w:p>
        </w:tc>
        <w:tc>
          <w:tcPr>
            <w:tcW w:w="755" w:type="dxa"/>
            <w:tcBorders>
              <w:top w:val="single" w:sz="12" w:space="0" w:color="auto"/>
              <w:left w:val="nil"/>
              <w:bottom w:val="nil"/>
              <w:right w:val="nil"/>
            </w:tcBorders>
            <w:shd w:val="clear" w:color="auto" w:fill="auto"/>
            <w:noWrap/>
            <w:vAlign w:val="center"/>
          </w:tcPr>
          <w:p w14:paraId="150D854C" w14:textId="77777777" w:rsidR="00CC47BC" w:rsidRPr="00607C8A" w:rsidRDefault="00CC47BC" w:rsidP="00D87B20">
            <w:pPr>
              <w:autoSpaceDE w:val="0"/>
              <w:autoSpaceDN w:val="0"/>
              <w:adjustRightInd w:val="0"/>
              <w:ind w:left="60" w:right="60"/>
              <w:jc w:val="center"/>
              <w:rPr>
                <w:rFonts w:asciiTheme="majorBidi" w:hAnsiTheme="majorBidi" w:cstheme="majorBidi"/>
                <w:color w:val="000000"/>
              </w:rPr>
            </w:pPr>
          </w:p>
        </w:tc>
        <w:tc>
          <w:tcPr>
            <w:tcW w:w="1088" w:type="dxa"/>
            <w:tcBorders>
              <w:top w:val="single" w:sz="12" w:space="0" w:color="auto"/>
              <w:left w:val="nil"/>
              <w:bottom w:val="nil"/>
              <w:right w:val="nil"/>
            </w:tcBorders>
            <w:shd w:val="clear" w:color="auto" w:fill="auto"/>
            <w:noWrap/>
            <w:vAlign w:val="center"/>
          </w:tcPr>
          <w:p w14:paraId="42BF611E" w14:textId="77777777" w:rsidR="00CC47BC" w:rsidRPr="00607C8A" w:rsidRDefault="00CC47BC" w:rsidP="00D87B20">
            <w:pPr>
              <w:autoSpaceDE w:val="0"/>
              <w:autoSpaceDN w:val="0"/>
              <w:adjustRightInd w:val="0"/>
              <w:ind w:left="60" w:right="60"/>
              <w:jc w:val="center"/>
              <w:rPr>
                <w:rFonts w:asciiTheme="majorBidi" w:hAnsiTheme="majorBidi" w:cstheme="majorBidi"/>
                <w:color w:val="000000"/>
              </w:rPr>
            </w:pPr>
          </w:p>
        </w:tc>
        <w:tc>
          <w:tcPr>
            <w:tcW w:w="709" w:type="dxa"/>
            <w:tcBorders>
              <w:top w:val="single" w:sz="12" w:space="0" w:color="auto"/>
              <w:left w:val="nil"/>
              <w:bottom w:val="nil"/>
              <w:right w:val="nil"/>
            </w:tcBorders>
            <w:shd w:val="clear" w:color="auto" w:fill="auto"/>
            <w:noWrap/>
            <w:vAlign w:val="center"/>
          </w:tcPr>
          <w:p w14:paraId="42FD91B1" w14:textId="77777777" w:rsidR="00CC47BC" w:rsidRPr="00607C8A" w:rsidRDefault="00CC47BC" w:rsidP="00D87B20">
            <w:pPr>
              <w:autoSpaceDE w:val="0"/>
              <w:autoSpaceDN w:val="0"/>
              <w:adjustRightInd w:val="0"/>
              <w:ind w:left="60" w:right="60"/>
              <w:jc w:val="center"/>
              <w:rPr>
                <w:rFonts w:asciiTheme="majorBidi" w:hAnsiTheme="majorBidi" w:cstheme="majorBidi"/>
                <w:color w:val="000000"/>
              </w:rPr>
            </w:pPr>
          </w:p>
        </w:tc>
        <w:tc>
          <w:tcPr>
            <w:tcW w:w="992" w:type="dxa"/>
            <w:tcBorders>
              <w:top w:val="single" w:sz="12" w:space="0" w:color="auto"/>
              <w:left w:val="nil"/>
              <w:bottom w:val="nil"/>
              <w:right w:val="nil"/>
            </w:tcBorders>
            <w:shd w:val="clear" w:color="auto" w:fill="auto"/>
            <w:noWrap/>
            <w:vAlign w:val="center"/>
          </w:tcPr>
          <w:p w14:paraId="14CB0C52" w14:textId="77777777" w:rsidR="00CC47BC" w:rsidRPr="00607C8A" w:rsidRDefault="00CC47BC" w:rsidP="00D87B20">
            <w:pPr>
              <w:autoSpaceDE w:val="0"/>
              <w:autoSpaceDN w:val="0"/>
              <w:adjustRightInd w:val="0"/>
              <w:ind w:left="60" w:right="60"/>
              <w:jc w:val="center"/>
              <w:rPr>
                <w:rFonts w:asciiTheme="majorBidi" w:hAnsiTheme="majorBidi" w:cstheme="majorBidi"/>
                <w:color w:val="000000"/>
              </w:rPr>
            </w:pPr>
          </w:p>
        </w:tc>
        <w:tc>
          <w:tcPr>
            <w:tcW w:w="851" w:type="dxa"/>
            <w:vMerge w:val="restart"/>
            <w:tcBorders>
              <w:top w:val="single" w:sz="12" w:space="0" w:color="auto"/>
              <w:left w:val="nil"/>
              <w:right w:val="nil"/>
            </w:tcBorders>
            <w:shd w:val="clear" w:color="auto" w:fill="auto"/>
            <w:noWrap/>
            <w:vAlign w:val="center"/>
          </w:tcPr>
          <w:p w14:paraId="4CA4512C" w14:textId="77777777" w:rsidR="00CC47BC" w:rsidRPr="00607C8A" w:rsidRDefault="00CC47BC" w:rsidP="00D87B20">
            <w:pPr>
              <w:jc w:val="center"/>
              <w:rPr>
                <w:rFonts w:asciiTheme="majorBidi" w:eastAsia="Times New Roman" w:hAnsiTheme="majorBidi" w:cstheme="majorBidi"/>
                <w:color w:val="000000"/>
              </w:rPr>
            </w:pPr>
          </w:p>
          <w:p w14:paraId="56CAE557" w14:textId="77777777" w:rsidR="00CC47BC" w:rsidRPr="00607C8A" w:rsidRDefault="00CC47BC" w:rsidP="00D87B20">
            <w:pPr>
              <w:jc w:val="center"/>
              <w:rPr>
                <w:rFonts w:asciiTheme="majorBidi" w:eastAsia="Times New Roman" w:hAnsiTheme="majorBidi" w:cstheme="majorBidi"/>
                <w:color w:val="000000"/>
              </w:rPr>
            </w:pPr>
          </w:p>
          <w:p w14:paraId="40CD2B13"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3.039</w:t>
            </w:r>
          </w:p>
        </w:tc>
        <w:tc>
          <w:tcPr>
            <w:tcW w:w="1134" w:type="dxa"/>
            <w:vMerge w:val="restart"/>
            <w:tcBorders>
              <w:top w:val="single" w:sz="12" w:space="0" w:color="auto"/>
              <w:left w:val="nil"/>
              <w:right w:val="nil"/>
            </w:tcBorders>
            <w:shd w:val="clear" w:color="auto" w:fill="auto"/>
            <w:noWrap/>
            <w:vAlign w:val="center"/>
          </w:tcPr>
          <w:p w14:paraId="19FA4408" w14:textId="77777777" w:rsidR="00CC47BC" w:rsidRPr="00607C8A" w:rsidRDefault="00CC47BC" w:rsidP="00D87B20">
            <w:pPr>
              <w:jc w:val="center"/>
              <w:rPr>
                <w:rFonts w:asciiTheme="majorBidi" w:eastAsia="Times New Roman" w:hAnsiTheme="majorBidi" w:cstheme="majorBidi"/>
                <w:color w:val="000000"/>
              </w:rPr>
            </w:pPr>
          </w:p>
          <w:p w14:paraId="3110AF5D" w14:textId="77777777" w:rsidR="00CC47BC" w:rsidRPr="00607C8A" w:rsidRDefault="00CC47BC" w:rsidP="00D87B20">
            <w:pPr>
              <w:jc w:val="center"/>
              <w:rPr>
                <w:rFonts w:asciiTheme="majorBidi" w:eastAsia="Times New Roman" w:hAnsiTheme="majorBidi" w:cstheme="majorBidi"/>
                <w:color w:val="000000"/>
              </w:rPr>
            </w:pPr>
          </w:p>
          <w:p w14:paraId="68244F0F" w14:textId="77777777" w:rsidR="00CC47BC" w:rsidRPr="00607C8A" w:rsidRDefault="005E46C3" w:rsidP="00D87B20">
            <w:pPr>
              <w:jc w:val="center"/>
              <w:rPr>
                <w:rFonts w:asciiTheme="majorBidi" w:eastAsia="Times New Roman" w:hAnsiTheme="majorBidi" w:cstheme="majorBidi"/>
                <w:color w:val="000000"/>
                <w:rtl/>
              </w:rPr>
            </w:pPr>
            <w:r w:rsidRPr="00607C8A">
              <w:rPr>
                <w:rFonts w:asciiTheme="majorBidi" w:eastAsia="Times New Roman" w:hAnsiTheme="majorBidi" w:cstheme="majorBidi"/>
                <w:color w:val="000000"/>
              </w:rPr>
              <w:t>0.086</w:t>
            </w:r>
          </w:p>
        </w:tc>
      </w:tr>
      <w:tr w:rsidR="00B7002F" w14:paraId="5AA34D07" w14:textId="77777777" w:rsidTr="00D87B20">
        <w:trPr>
          <w:trHeight w:val="255"/>
        </w:trPr>
        <w:tc>
          <w:tcPr>
            <w:tcW w:w="2464" w:type="dxa"/>
            <w:tcBorders>
              <w:top w:val="nil"/>
              <w:left w:val="nil"/>
              <w:bottom w:val="nil"/>
              <w:right w:val="nil"/>
            </w:tcBorders>
            <w:shd w:val="clear" w:color="auto" w:fill="auto"/>
            <w:noWrap/>
            <w:vAlign w:val="center"/>
          </w:tcPr>
          <w:p w14:paraId="365A884A" w14:textId="77777777" w:rsidR="00CC47BC" w:rsidRPr="00607C8A" w:rsidRDefault="005E46C3" w:rsidP="00D87B20">
            <w:pPr>
              <w:ind w:left="372"/>
              <w:rPr>
                <w:rFonts w:asciiTheme="majorBidi" w:eastAsia="Times New Roman" w:hAnsiTheme="majorBidi" w:cstheme="majorBidi"/>
                <w:color w:val="000000"/>
              </w:rPr>
            </w:pPr>
            <w:r w:rsidRPr="00607C8A">
              <w:rPr>
                <w:rFonts w:asciiTheme="majorBidi" w:eastAsia="Times New Roman" w:hAnsiTheme="majorBidi" w:cstheme="majorBidi"/>
                <w:color w:val="000000"/>
              </w:rPr>
              <w:t>Yes</w:t>
            </w:r>
          </w:p>
        </w:tc>
        <w:tc>
          <w:tcPr>
            <w:tcW w:w="755" w:type="dxa"/>
            <w:tcBorders>
              <w:top w:val="nil"/>
              <w:left w:val="nil"/>
              <w:bottom w:val="nil"/>
              <w:right w:val="nil"/>
            </w:tcBorders>
            <w:shd w:val="clear" w:color="auto" w:fill="auto"/>
            <w:noWrap/>
            <w:vAlign w:val="center"/>
          </w:tcPr>
          <w:p w14:paraId="4A2B5606"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7</w:t>
            </w:r>
          </w:p>
        </w:tc>
        <w:tc>
          <w:tcPr>
            <w:tcW w:w="1088" w:type="dxa"/>
            <w:tcBorders>
              <w:top w:val="nil"/>
              <w:left w:val="nil"/>
              <w:bottom w:val="nil"/>
              <w:right w:val="nil"/>
            </w:tcBorders>
            <w:shd w:val="clear" w:color="auto" w:fill="auto"/>
            <w:noWrap/>
            <w:vAlign w:val="center"/>
          </w:tcPr>
          <w:p w14:paraId="7B900788"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50.0%</w:t>
            </w:r>
          </w:p>
        </w:tc>
        <w:tc>
          <w:tcPr>
            <w:tcW w:w="709" w:type="dxa"/>
            <w:tcBorders>
              <w:top w:val="nil"/>
              <w:left w:val="nil"/>
              <w:bottom w:val="nil"/>
              <w:right w:val="nil"/>
            </w:tcBorders>
            <w:shd w:val="clear" w:color="auto" w:fill="auto"/>
            <w:noWrap/>
            <w:vAlign w:val="center"/>
          </w:tcPr>
          <w:p w14:paraId="5F7DE710"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4</w:t>
            </w:r>
          </w:p>
        </w:tc>
        <w:tc>
          <w:tcPr>
            <w:tcW w:w="992" w:type="dxa"/>
            <w:tcBorders>
              <w:top w:val="nil"/>
              <w:left w:val="nil"/>
              <w:bottom w:val="nil"/>
              <w:right w:val="nil"/>
            </w:tcBorders>
            <w:shd w:val="clear" w:color="auto" w:fill="auto"/>
            <w:noWrap/>
            <w:vAlign w:val="center"/>
          </w:tcPr>
          <w:p w14:paraId="7C1637FC"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21.1%</w:t>
            </w:r>
          </w:p>
        </w:tc>
        <w:tc>
          <w:tcPr>
            <w:tcW w:w="851" w:type="dxa"/>
            <w:vMerge/>
            <w:tcBorders>
              <w:left w:val="nil"/>
              <w:right w:val="nil"/>
            </w:tcBorders>
            <w:shd w:val="clear" w:color="auto" w:fill="auto"/>
            <w:noWrap/>
            <w:vAlign w:val="bottom"/>
          </w:tcPr>
          <w:p w14:paraId="7B6EC351" w14:textId="77777777" w:rsidR="00CC47BC" w:rsidRPr="00607C8A" w:rsidRDefault="00CC47BC" w:rsidP="00D87B20">
            <w:pPr>
              <w:jc w:val="center"/>
              <w:rPr>
                <w:rFonts w:asciiTheme="majorBidi" w:eastAsia="Times New Roman" w:hAnsiTheme="majorBidi" w:cstheme="majorBidi"/>
                <w:color w:val="000000"/>
              </w:rPr>
            </w:pPr>
          </w:p>
        </w:tc>
        <w:tc>
          <w:tcPr>
            <w:tcW w:w="1134" w:type="dxa"/>
            <w:vMerge/>
            <w:tcBorders>
              <w:left w:val="nil"/>
              <w:right w:val="nil"/>
            </w:tcBorders>
            <w:shd w:val="clear" w:color="auto" w:fill="auto"/>
            <w:noWrap/>
            <w:vAlign w:val="bottom"/>
          </w:tcPr>
          <w:p w14:paraId="6347F588" w14:textId="77777777" w:rsidR="00CC47BC" w:rsidRPr="00607C8A" w:rsidRDefault="00CC47BC" w:rsidP="00D87B20">
            <w:pPr>
              <w:jc w:val="center"/>
              <w:rPr>
                <w:rFonts w:asciiTheme="majorBidi" w:eastAsia="Times New Roman" w:hAnsiTheme="majorBidi" w:cstheme="majorBidi"/>
                <w:color w:val="000000"/>
              </w:rPr>
            </w:pPr>
          </w:p>
        </w:tc>
      </w:tr>
      <w:tr w:rsidR="00B7002F" w14:paraId="0DBBC2A2" w14:textId="77777777" w:rsidTr="00D87B20">
        <w:trPr>
          <w:trHeight w:val="255"/>
        </w:trPr>
        <w:tc>
          <w:tcPr>
            <w:tcW w:w="2464" w:type="dxa"/>
            <w:tcBorders>
              <w:top w:val="nil"/>
              <w:left w:val="nil"/>
              <w:bottom w:val="single" w:sz="12" w:space="0" w:color="auto"/>
              <w:right w:val="nil"/>
            </w:tcBorders>
            <w:shd w:val="clear" w:color="auto" w:fill="auto"/>
            <w:noWrap/>
            <w:vAlign w:val="center"/>
          </w:tcPr>
          <w:p w14:paraId="45CEF197" w14:textId="77777777" w:rsidR="00CC47BC" w:rsidRPr="00607C8A" w:rsidRDefault="005E46C3" w:rsidP="00D87B20">
            <w:pPr>
              <w:ind w:left="372"/>
              <w:rPr>
                <w:rFonts w:asciiTheme="majorBidi" w:eastAsia="Times New Roman" w:hAnsiTheme="majorBidi" w:cstheme="majorBidi"/>
                <w:color w:val="000000"/>
              </w:rPr>
            </w:pPr>
            <w:r w:rsidRPr="00607C8A">
              <w:rPr>
                <w:rFonts w:asciiTheme="majorBidi" w:eastAsia="Times New Roman" w:hAnsiTheme="majorBidi" w:cstheme="majorBidi"/>
                <w:color w:val="000000"/>
              </w:rPr>
              <w:t>No</w:t>
            </w:r>
          </w:p>
        </w:tc>
        <w:tc>
          <w:tcPr>
            <w:tcW w:w="755" w:type="dxa"/>
            <w:tcBorders>
              <w:top w:val="nil"/>
              <w:left w:val="nil"/>
              <w:bottom w:val="single" w:sz="12" w:space="0" w:color="auto"/>
              <w:right w:val="nil"/>
            </w:tcBorders>
            <w:shd w:val="clear" w:color="auto" w:fill="auto"/>
            <w:noWrap/>
            <w:vAlign w:val="center"/>
          </w:tcPr>
          <w:p w14:paraId="2F1704D9"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7</w:t>
            </w:r>
          </w:p>
        </w:tc>
        <w:tc>
          <w:tcPr>
            <w:tcW w:w="1088" w:type="dxa"/>
            <w:tcBorders>
              <w:top w:val="nil"/>
              <w:left w:val="nil"/>
              <w:bottom w:val="single" w:sz="12" w:space="0" w:color="auto"/>
              <w:right w:val="nil"/>
            </w:tcBorders>
            <w:shd w:val="clear" w:color="auto" w:fill="auto"/>
            <w:noWrap/>
            <w:vAlign w:val="center"/>
          </w:tcPr>
          <w:p w14:paraId="2121CE41"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50.0%</w:t>
            </w:r>
          </w:p>
        </w:tc>
        <w:tc>
          <w:tcPr>
            <w:tcW w:w="709" w:type="dxa"/>
            <w:tcBorders>
              <w:top w:val="nil"/>
              <w:left w:val="nil"/>
              <w:bottom w:val="single" w:sz="12" w:space="0" w:color="auto"/>
              <w:right w:val="nil"/>
            </w:tcBorders>
            <w:shd w:val="clear" w:color="auto" w:fill="auto"/>
            <w:noWrap/>
            <w:vAlign w:val="center"/>
          </w:tcPr>
          <w:p w14:paraId="28F249CA"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15</w:t>
            </w:r>
          </w:p>
        </w:tc>
        <w:tc>
          <w:tcPr>
            <w:tcW w:w="992" w:type="dxa"/>
            <w:tcBorders>
              <w:top w:val="nil"/>
              <w:left w:val="nil"/>
              <w:bottom w:val="single" w:sz="12" w:space="0" w:color="auto"/>
              <w:right w:val="nil"/>
            </w:tcBorders>
            <w:shd w:val="clear" w:color="auto" w:fill="auto"/>
            <w:noWrap/>
            <w:vAlign w:val="center"/>
          </w:tcPr>
          <w:p w14:paraId="72058A5E"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78.9%</w:t>
            </w:r>
          </w:p>
        </w:tc>
        <w:tc>
          <w:tcPr>
            <w:tcW w:w="851" w:type="dxa"/>
            <w:vMerge/>
            <w:tcBorders>
              <w:left w:val="nil"/>
              <w:bottom w:val="single" w:sz="12" w:space="0" w:color="auto"/>
              <w:right w:val="nil"/>
            </w:tcBorders>
            <w:shd w:val="clear" w:color="auto" w:fill="auto"/>
            <w:noWrap/>
            <w:vAlign w:val="bottom"/>
          </w:tcPr>
          <w:p w14:paraId="599A3CFF" w14:textId="77777777" w:rsidR="00CC47BC" w:rsidRPr="00607C8A" w:rsidRDefault="00CC47BC" w:rsidP="00D87B20">
            <w:pPr>
              <w:jc w:val="center"/>
              <w:rPr>
                <w:rFonts w:asciiTheme="majorBidi" w:eastAsia="Times New Roman" w:hAnsiTheme="majorBidi" w:cstheme="majorBidi"/>
                <w:color w:val="000000"/>
              </w:rPr>
            </w:pPr>
          </w:p>
        </w:tc>
        <w:tc>
          <w:tcPr>
            <w:tcW w:w="1134" w:type="dxa"/>
            <w:vMerge/>
            <w:tcBorders>
              <w:left w:val="nil"/>
              <w:bottom w:val="single" w:sz="12" w:space="0" w:color="auto"/>
              <w:right w:val="nil"/>
            </w:tcBorders>
            <w:shd w:val="clear" w:color="auto" w:fill="auto"/>
            <w:noWrap/>
            <w:vAlign w:val="bottom"/>
          </w:tcPr>
          <w:p w14:paraId="0D22DE6D" w14:textId="77777777" w:rsidR="00CC47BC" w:rsidRPr="00607C8A" w:rsidRDefault="00CC47BC" w:rsidP="00D87B20">
            <w:pPr>
              <w:jc w:val="center"/>
              <w:rPr>
                <w:rFonts w:asciiTheme="majorBidi" w:eastAsia="Times New Roman" w:hAnsiTheme="majorBidi" w:cstheme="majorBidi"/>
                <w:color w:val="000000"/>
              </w:rPr>
            </w:pPr>
          </w:p>
        </w:tc>
      </w:tr>
      <w:tr w:rsidR="00B7002F" w14:paraId="02596610" w14:textId="77777777" w:rsidTr="00D87B20">
        <w:trPr>
          <w:trHeight w:val="255"/>
        </w:trPr>
        <w:tc>
          <w:tcPr>
            <w:tcW w:w="2464" w:type="dxa"/>
            <w:tcBorders>
              <w:top w:val="single" w:sz="12" w:space="0" w:color="auto"/>
              <w:left w:val="nil"/>
              <w:bottom w:val="nil"/>
              <w:right w:val="nil"/>
            </w:tcBorders>
            <w:shd w:val="clear" w:color="auto" w:fill="auto"/>
            <w:noWrap/>
          </w:tcPr>
          <w:p w14:paraId="77267BD1" w14:textId="77777777" w:rsidR="00CC47BC" w:rsidRPr="00607C8A" w:rsidRDefault="005E46C3" w:rsidP="00D87B20">
            <w:pPr>
              <w:rPr>
                <w:rFonts w:ascii="Times New Roman" w:eastAsia="Times New Roman" w:hAnsi="Times New Roman" w:cs="Times New Roman"/>
                <w:b/>
                <w:bCs/>
                <w:i/>
                <w:iCs/>
              </w:rPr>
            </w:pPr>
            <w:r w:rsidRPr="00607C8A">
              <w:rPr>
                <w:rFonts w:ascii="Times New Roman" w:eastAsia="Times New Roman" w:hAnsi="Times New Roman" w:cs="Times New Roman"/>
                <w:b/>
                <w:bCs/>
                <w:i/>
                <w:iCs/>
              </w:rPr>
              <w:t>Outcome</w:t>
            </w:r>
          </w:p>
        </w:tc>
        <w:tc>
          <w:tcPr>
            <w:tcW w:w="755" w:type="dxa"/>
            <w:tcBorders>
              <w:top w:val="single" w:sz="12" w:space="0" w:color="auto"/>
              <w:left w:val="nil"/>
              <w:bottom w:val="nil"/>
              <w:right w:val="nil"/>
            </w:tcBorders>
            <w:shd w:val="clear" w:color="auto" w:fill="auto"/>
            <w:noWrap/>
            <w:vAlign w:val="center"/>
          </w:tcPr>
          <w:p w14:paraId="1A68FF42" w14:textId="77777777" w:rsidR="00CC47BC" w:rsidRPr="00607C8A" w:rsidRDefault="00CC47BC" w:rsidP="00D87B20">
            <w:pPr>
              <w:autoSpaceDE w:val="0"/>
              <w:autoSpaceDN w:val="0"/>
              <w:adjustRightInd w:val="0"/>
              <w:ind w:left="60" w:right="60"/>
              <w:jc w:val="center"/>
              <w:rPr>
                <w:rFonts w:asciiTheme="majorBidi" w:hAnsiTheme="majorBidi" w:cstheme="majorBidi"/>
                <w:color w:val="000000"/>
              </w:rPr>
            </w:pPr>
          </w:p>
        </w:tc>
        <w:tc>
          <w:tcPr>
            <w:tcW w:w="1088" w:type="dxa"/>
            <w:tcBorders>
              <w:top w:val="single" w:sz="12" w:space="0" w:color="auto"/>
              <w:left w:val="nil"/>
              <w:bottom w:val="nil"/>
              <w:right w:val="nil"/>
            </w:tcBorders>
            <w:shd w:val="clear" w:color="auto" w:fill="auto"/>
            <w:noWrap/>
            <w:vAlign w:val="center"/>
          </w:tcPr>
          <w:p w14:paraId="4915440B" w14:textId="77777777" w:rsidR="00CC47BC" w:rsidRPr="00607C8A" w:rsidRDefault="00CC47BC" w:rsidP="00D87B20">
            <w:pPr>
              <w:autoSpaceDE w:val="0"/>
              <w:autoSpaceDN w:val="0"/>
              <w:adjustRightInd w:val="0"/>
              <w:ind w:left="60" w:right="60"/>
              <w:jc w:val="center"/>
              <w:rPr>
                <w:rFonts w:asciiTheme="majorBidi" w:hAnsiTheme="majorBidi" w:cstheme="majorBidi"/>
                <w:color w:val="000000"/>
              </w:rPr>
            </w:pPr>
          </w:p>
        </w:tc>
        <w:tc>
          <w:tcPr>
            <w:tcW w:w="709" w:type="dxa"/>
            <w:tcBorders>
              <w:top w:val="single" w:sz="12" w:space="0" w:color="auto"/>
              <w:left w:val="nil"/>
              <w:bottom w:val="nil"/>
              <w:right w:val="nil"/>
            </w:tcBorders>
            <w:shd w:val="clear" w:color="auto" w:fill="auto"/>
            <w:noWrap/>
            <w:vAlign w:val="center"/>
          </w:tcPr>
          <w:p w14:paraId="4FE03542" w14:textId="77777777" w:rsidR="00CC47BC" w:rsidRPr="00607C8A" w:rsidRDefault="00CC47BC" w:rsidP="00D87B20">
            <w:pPr>
              <w:autoSpaceDE w:val="0"/>
              <w:autoSpaceDN w:val="0"/>
              <w:adjustRightInd w:val="0"/>
              <w:ind w:left="60" w:right="60"/>
              <w:jc w:val="center"/>
              <w:rPr>
                <w:rFonts w:asciiTheme="majorBidi" w:hAnsiTheme="majorBidi" w:cstheme="majorBidi"/>
                <w:color w:val="000000"/>
              </w:rPr>
            </w:pPr>
          </w:p>
        </w:tc>
        <w:tc>
          <w:tcPr>
            <w:tcW w:w="992" w:type="dxa"/>
            <w:tcBorders>
              <w:top w:val="single" w:sz="12" w:space="0" w:color="auto"/>
              <w:left w:val="nil"/>
              <w:bottom w:val="nil"/>
              <w:right w:val="nil"/>
            </w:tcBorders>
            <w:shd w:val="clear" w:color="auto" w:fill="auto"/>
            <w:noWrap/>
            <w:vAlign w:val="center"/>
          </w:tcPr>
          <w:p w14:paraId="676807F4" w14:textId="77777777" w:rsidR="00CC47BC" w:rsidRPr="00607C8A" w:rsidRDefault="00CC47BC" w:rsidP="00D87B20">
            <w:pPr>
              <w:autoSpaceDE w:val="0"/>
              <w:autoSpaceDN w:val="0"/>
              <w:adjustRightInd w:val="0"/>
              <w:ind w:left="60" w:right="60"/>
              <w:jc w:val="center"/>
              <w:rPr>
                <w:rFonts w:asciiTheme="majorBidi" w:hAnsiTheme="majorBidi" w:cstheme="majorBidi"/>
                <w:color w:val="000000"/>
              </w:rPr>
            </w:pPr>
          </w:p>
        </w:tc>
        <w:tc>
          <w:tcPr>
            <w:tcW w:w="851" w:type="dxa"/>
            <w:vMerge w:val="restart"/>
            <w:tcBorders>
              <w:top w:val="single" w:sz="12" w:space="0" w:color="auto"/>
              <w:left w:val="nil"/>
              <w:right w:val="nil"/>
            </w:tcBorders>
            <w:shd w:val="clear" w:color="auto" w:fill="auto"/>
            <w:noWrap/>
            <w:vAlign w:val="center"/>
          </w:tcPr>
          <w:p w14:paraId="1D0619D3" w14:textId="77777777" w:rsidR="00CC47BC" w:rsidRPr="00607C8A" w:rsidRDefault="00CC47BC" w:rsidP="00D87B20">
            <w:pPr>
              <w:jc w:val="center"/>
              <w:rPr>
                <w:rFonts w:asciiTheme="majorBidi" w:eastAsia="Times New Roman" w:hAnsiTheme="majorBidi" w:cstheme="majorBidi"/>
                <w:color w:val="000000"/>
              </w:rPr>
            </w:pPr>
          </w:p>
          <w:p w14:paraId="0E1962A3" w14:textId="77777777" w:rsidR="00CC47BC" w:rsidRPr="00607C8A" w:rsidRDefault="00CC47BC" w:rsidP="00D87B20">
            <w:pPr>
              <w:jc w:val="center"/>
              <w:rPr>
                <w:rFonts w:asciiTheme="majorBidi" w:eastAsia="Times New Roman" w:hAnsiTheme="majorBidi" w:cstheme="majorBidi"/>
                <w:color w:val="000000"/>
              </w:rPr>
            </w:pPr>
          </w:p>
          <w:p w14:paraId="7EE9B66B"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NA</w:t>
            </w:r>
          </w:p>
        </w:tc>
        <w:tc>
          <w:tcPr>
            <w:tcW w:w="1134" w:type="dxa"/>
            <w:vMerge w:val="restart"/>
            <w:tcBorders>
              <w:top w:val="single" w:sz="12" w:space="0" w:color="auto"/>
              <w:left w:val="nil"/>
              <w:right w:val="nil"/>
            </w:tcBorders>
            <w:shd w:val="clear" w:color="auto" w:fill="auto"/>
            <w:noWrap/>
            <w:vAlign w:val="center"/>
          </w:tcPr>
          <w:p w14:paraId="67081158" w14:textId="77777777" w:rsidR="00CC47BC" w:rsidRPr="00607C8A" w:rsidRDefault="00CC47BC" w:rsidP="00D87B20">
            <w:pPr>
              <w:jc w:val="center"/>
              <w:rPr>
                <w:rFonts w:asciiTheme="majorBidi" w:eastAsia="Times New Roman" w:hAnsiTheme="majorBidi" w:cstheme="majorBidi"/>
                <w:color w:val="000000"/>
              </w:rPr>
            </w:pPr>
          </w:p>
          <w:p w14:paraId="3B8E3B27" w14:textId="77777777" w:rsidR="00CC47BC" w:rsidRPr="00607C8A" w:rsidRDefault="00CC47BC" w:rsidP="00D87B20">
            <w:pPr>
              <w:jc w:val="center"/>
              <w:rPr>
                <w:rFonts w:asciiTheme="majorBidi" w:eastAsia="Times New Roman" w:hAnsiTheme="majorBidi" w:cstheme="majorBidi"/>
                <w:color w:val="000000"/>
              </w:rPr>
            </w:pPr>
          </w:p>
          <w:p w14:paraId="5A802D5E" w14:textId="77777777" w:rsidR="00CC47BC" w:rsidRPr="00607C8A" w:rsidRDefault="005E46C3" w:rsidP="00D87B20">
            <w:pPr>
              <w:jc w:val="center"/>
              <w:rPr>
                <w:rFonts w:asciiTheme="majorBidi" w:eastAsia="Times New Roman" w:hAnsiTheme="majorBidi" w:cstheme="majorBidi"/>
                <w:color w:val="000000"/>
              </w:rPr>
            </w:pPr>
            <w:r w:rsidRPr="00607C8A">
              <w:rPr>
                <w:rFonts w:asciiTheme="majorBidi" w:eastAsia="Times New Roman" w:hAnsiTheme="majorBidi" w:cstheme="majorBidi"/>
                <w:color w:val="000000"/>
              </w:rPr>
              <w:t>NA</w:t>
            </w:r>
          </w:p>
        </w:tc>
      </w:tr>
      <w:tr w:rsidR="00B7002F" w14:paraId="002AA974" w14:textId="77777777" w:rsidTr="00D87B20">
        <w:trPr>
          <w:trHeight w:val="255"/>
        </w:trPr>
        <w:tc>
          <w:tcPr>
            <w:tcW w:w="2464" w:type="dxa"/>
            <w:tcBorders>
              <w:top w:val="nil"/>
              <w:left w:val="nil"/>
              <w:right w:val="nil"/>
            </w:tcBorders>
            <w:shd w:val="clear" w:color="auto" w:fill="auto"/>
            <w:noWrap/>
            <w:vAlign w:val="center"/>
          </w:tcPr>
          <w:p w14:paraId="3AAD3167" w14:textId="77777777" w:rsidR="00CC47BC" w:rsidRPr="00607C8A" w:rsidRDefault="005E46C3" w:rsidP="00D87B20">
            <w:pPr>
              <w:autoSpaceDE w:val="0"/>
              <w:autoSpaceDN w:val="0"/>
              <w:adjustRightInd w:val="0"/>
              <w:ind w:left="372"/>
              <w:rPr>
                <w:rFonts w:ascii="Times New Roman" w:eastAsia="Times New Roman" w:hAnsi="Times New Roman" w:cs="Times New Roman"/>
              </w:rPr>
            </w:pPr>
            <w:r w:rsidRPr="00607C8A">
              <w:rPr>
                <w:rFonts w:ascii="Times New Roman" w:eastAsia="Times New Roman" w:hAnsi="Times New Roman" w:cs="Times New Roman"/>
              </w:rPr>
              <w:t>Alive in CR</w:t>
            </w:r>
          </w:p>
        </w:tc>
        <w:tc>
          <w:tcPr>
            <w:tcW w:w="755" w:type="dxa"/>
            <w:tcBorders>
              <w:top w:val="nil"/>
              <w:left w:val="nil"/>
              <w:right w:val="nil"/>
            </w:tcBorders>
            <w:shd w:val="clear" w:color="auto" w:fill="auto"/>
            <w:noWrap/>
            <w:vAlign w:val="center"/>
          </w:tcPr>
          <w:p w14:paraId="214D221A"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12</w:t>
            </w:r>
          </w:p>
        </w:tc>
        <w:tc>
          <w:tcPr>
            <w:tcW w:w="1088" w:type="dxa"/>
            <w:tcBorders>
              <w:top w:val="nil"/>
              <w:left w:val="nil"/>
              <w:right w:val="nil"/>
            </w:tcBorders>
            <w:shd w:val="clear" w:color="auto" w:fill="auto"/>
            <w:noWrap/>
            <w:vAlign w:val="center"/>
          </w:tcPr>
          <w:p w14:paraId="2721F638"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85.7%</w:t>
            </w:r>
          </w:p>
        </w:tc>
        <w:tc>
          <w:tcPr>
            <w:tcW w:w="709" w:type="dxa"/>
            <w:tcBorders>
              <w:top w:val="nil"/>
              <w:left w:val="nil"/>
              <w:right w:val="nil"/>
            </w:tcBorders>
            <w:shd w:val="clear" w:color="auto" w:fill="auto"/>
            <w:noWrap/>
            <w:vAlign w:val="center"/>
          </w:tcPr>
          <w:p w14:paraId="5CEF93B7"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16</w:t>
            </w:r>
          </w:p>
        </w:tc>
        <w:tc>
          <w:tcPr>
            <w:tcW w:w="992" w:type="dxa"/>
            <w:tcBorders>
              <w:top w:val="nil"/>
              <w:left w:val="nil"/>
              <w:right w:val="nil"/>
            </w:tcBorders>
            <w:shd w:val="clear" w:color="auto" w:fill="auto"/>
            <w:noWrap/>
            <w:vAlign w:val="center"/>
          </w:tcPr>
          <w:p w14:paraId="6E02B75B"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84.2%</w:t>
            </w:r>
          </w:p>
        </w:tc>
        <w:tc>
          <w:tcPr>
            <w:tcW w:w="851" w:type="dxa"/>
            <w:vMerge/>
            <w:tcBorders>
              <w:left w:val="nil"/>
              <w:right w:val="nil"/>
            </w:tcBorders>
            <w:shd w:val="clear" w:color="auto" w:fill="auto"/>
            <w:noWrap/>
            <w:vAlign w:val="bottom"/>
          </w:tcPr>
          <w:p w14:paraId="79412321" w14:textId="77777777" w:rsidR="00CC47BC" w:rsidRPr="00607C8A" w:rsidRDefault="00CC47BC" w:rsidP="00D87B20">
            <w:pPr>
              <w:jc w:val="both"/>
              <w:rPr>
                <w:rFonts w:asciiTheme="majorBidi" w:eastAsia="Times New Roman" w:hAnsiTheme="majorBidi" w:cstheme="majorBidi"/>
                <w:color w:val="000000"/>
              </w:rPr>
            </w:pPr>
          </w:p>
        </w:tc>
        <w:tc>
          <w:tcPr>
            <w:tcW w:w="1134" w:type="dxa"/>
            <w:vMerge/>
            <w:tcBorders>
              <w:left w:val="nil"/>
              <w:right w:val="nil"/>
            </w:tcBorders>
            <w:shd w:val="clear" w:color="auto" w:fill="auto"/>
            <w:noWrap/>
            <w:vAlign w:val="bottom"/>
          </w:tcPr>
          <w:p w14:paraId="52ED999B" w14:textId="77777777" w:rsidR="00CC47BC" w:rsidRPr="00607C8A" w:rsidRDefault="00CC47BC" w:rsidP="00D87B20">
            <w:pPr>
              <w:jc w:val="both"/>
              <w:rPr>
                <w:rFonts w:asciiTheme="majorBidi" w:eastAsia="Times New Roman" w:hAnsiTheme="majorBidi" w:cstheme="majorBidi"/>
                <w:color w:val="000000"/>
              </w:rPr>
            </w:pPr>
          </w:p>
        </w:tc>
      </w:tr>
      <w:tr w:rsidR="00B7002F" w14:paraId="66593D88" w14:textId="77777777" w:rsidTr="00D87B20">
        <w:trPr>
          <w:trHeight w:val="255"/>
        </w:trPr>
        <w:tc>
          <w:tcPr>
            <w:tcW w:w="2464" w:type="dxa"/>
            <w:tcBorders>
              <w:top w:val="nil"/>
              <w:left w:val="nil"/>
              <w:right w:val="nil"/>
            </w:tcBorders>
            <w:shd w:val="clear" w:color="auto" w:fill="auto"/>
            <w:noWrap/>
            <w:vAlign w:val="center"/>
          </w:tcPr>
          <w:p w14:paraId="7FB367F5" w14:textId="77777777" w:rsidR="00CC47BC" w:rsidRPr="00607C8A" w:rsidRDefault="005E46C3" w:rsidP="00D87B20">
            <w:pPr>
              <w:autoSpaceDE w:val="0"/>
              <w:autoSpaceDN w:val="0"/>
              <w:adjustRightInd w:val="0"/>
              <w:ind w:left="372"/>
              <w:rPr>
                <w:rFonts w:ascii="Times New Roman" w:eastAsia="Times New Roman" w:hAnsi="Times New Roman" w:cs="Times New Roman"/>
              </w:rPr>
            </w:pPr>
            <w:r w:rsidRPr="00607C8A">
              <w:rPr>
                <w:rFonts w:ascii="Times New Roman" w:eastAsia="Times New Roman" w:hAnsi="Times New Roman" w:cs="Times New Roman"/>
              </w:rPr>
              <w:t>Alive with disease</w:t>
            </w:r>
          </w:p>
        </w:tc>
        <w:tc>
          <w:tcPr>
            <w:tcW w:w="755" w:type="dxa"/>
            <w:tcBorders>
              <w:top w:val="nil"/>
              <w:left w:val="nil"/>
              <w:right w:val="nil"/>
            </w:tcBorders>
            <w:shd w:val="clear" w:color="auto" w:fill="auto"/>
            <w:noWrap/>
            <w:vAlign w:val="center"/>
          </w:tcPr>
          <w:p w14:paraId="20A81147"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0</w:t>
            </w:r>
          </w:p>
        </w:tc>
        <w:tc>
          <w:tcPr>
            <w:tcW w:w="1088" w:type="dxa"/>
            <w:tcBorders>
              <w:top w:val="nil"/>
              <w:left w:val="nil"/>
              <w:right w:val="nil"/>
            </w:tcBorders>
            <w:shd w:val="clear" w:color="auto" w:fill="auto"/>
            <w:noWrap/>
            <w:vAlign w:val="center"/>
          </w:tcPr>
          <w:p w14:paraId="6AAB889D"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0.0%</w:t>
            </w:r>
          </w:p>
        </w:tc>
        <w:tc>
          <w:tcPr>
            <w:tcW w:w="709" w:type="dxa"/>
            <w:tcBorders>
              <w:top w:val="nil"/>
              <w:left w:val="nil"/>
              <w:right w:val="nil"/>
            </w:tcBorders>
            <w:shd w:val="clear" w:color="auto" w:fill="auto"/>
            <w:noWrap/>
            <w:vAlign w:val="center"/>
          </w:tcPr>
          <w:p w14:paraId="51A4D53D"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3</w:t>
            </w:r>
          </w:p>
        </w:tc>
        <w:tc>
          <w:tcPr>
            <w:tcW w:w="992" w:type="dxa"/>
            <w:tcBorders>
              <w:top w:val="nil"/>
              <w:left w:val="nil"/>
              <w:right w:val="nil"/>
            </w:tcBorders>
            <w:shd w:val="clear" w:color="auto" w:fill="auto"/>
            <w:noWrap/>
            <w:vAlign w:val="center"/>
          </w:tcPr>
          <w:p w14:paraId="3B9555B5"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15.8%</w:t>
            </w:r>
          </w:p>
        </w:tc>
        <w:tc>
          <w:tcPr>
            <w:tcW w:w="851" w:type="dxa"/>
            <w:vMerge/>
            <w:tcBorders>
              <w:left w:val="nil"/>
              <w:right w:val="nil"/>
            </w:tcBorders>
            <w:shd w:val="clear" w:color="auto" w:fill="auto"/>
            <w:noWrap/>
            <w:vAlign w:val="bottom"/>
          </w:tcPr>
          <w:p w14:paraId="6B05E4B5" w14:textId="77777777" w:rsidR="00CC47BC" w:rsidRPr="00607C8A" w:rsidRDefault="00CC47BC" w:rsidP="00D87B20">
            <w:pPr>
              <w:jc w:val="both"/>
              <w:rPr>
                <w:rFonts w:asciiTheme="majorBidi" w:eastAsia="Times New Roman" w:hAnsiTheme="majorBidi" w:cstheme="majorBidi"/>
                <w:color w:val="000000"/>
              </w:rPr>
            </w:pPr>
          </w:p>
        </w:tc>
        <w:tc>
          <w:tcPr>
            <w:tcW w:w="1134" w:type="dxa"/>
            <w:vMerge/>
            <w:tcBorders>
              <w:left w:val="nil"/>
              <w:right w:val="nil"/>
            </w:tcBorders>
            <w:shd w:val="clear" w:color="auto" w:fill="auto"/>
            <w:noWrap/>
            <w:vAlign w:val="bottom"/>
          </w:tcPr>
          <w:p w14:paraId="5C23D96E" w14:textId="77777777" w:rsidR="00CC47BC" w:rsidRPr="00607C8A" w:rsidRDefault="00CC47BC" w:rsidP="00D87B20">
            <w:pPr>
              <w:jc w:val="both"/>
              <w:rPr>
                <w:rFonts w:asciiTheme="majorBidi" w:eastAsia="Times New Roman" w:hAnsiTheme="majorBidi" w:cstheme="majorBidi"/>
                <w:color w:val="000000"/>
              </w:rPr>
            </w:pPr>
          </w:p>
        </w:tc>
      </w:tr>
      <w:tr w:rsidR="00B7002F" w14:paraId="08F69CC4" w14:textId="77777777" w:rsidTr="00D87B20">
        <w:trPr>
          <w:trHeight w:val="255"/>
        </w:trPr>
        <w:tc>
          <w:tcPr>
            <w:tcW w:w="2464" w:type="dxa"/>
            <w:tcBorders>
              <w:top w:val="nil"/>
              <w:left w:val="nil"/>
              <w:bottom w:val="double" w:sz="4" w:space="0" w:color="auto"/>
              <w:right w:val="nil"/>
            </w:tcBorders>
            <w:shd w:val="clear" w:color="auto" w:fill="auto"/>
            <w:noWrap/>
            <w:vAlign w:val="center"/>
          </w:tcPr>
          <w:p w14:paraId="089A6BD1" w14:textId="77777777" w:rsidR="00CC47BC" w:rsidRPr="00607C8A" w:rsidRDefault="005E46C3" w:rsidP="00D87B20">
            <w:pPr>
              <w:autoSpaceDE w:val="0"/>
              <w:autoSpaceDN w:val="0"/>
              <w:adjustRightInd w:val="0"/>
              <w:ind w:left="372"/>
              <w:rPr>
                <w:rFonts w:ascii="Times New Roman" w:eastAsia="Times New Roman" w:hAnsi="Times New Roman" w:cs="Times New Roman"/>
              </w:rPr>
            </w:pPr>
            <w:r w:rsidRPr="00607C8A">
              <w:rPr>
                <w:rFonts w:ascii="Times New Roman" w:eastAsia="Times New Roman" w:hAnsi="Times New Roman" w:cs="Times New Roman"/>
              </w:rPr>
              <w:t>Died</w:t>
            </w:r>
          </w:p>
        </w:tc>
        <w:tc>
          <w:tcPr>
            <w:tcW w:w="755" w:type="dxa"/>
            <w:tcBorders>
              <w:top w:val="nil"/>
              <w:left w:val="nil"/>
              <w:bottom w:val="double" w:sz="4" w:space="0" w:color="auto"/>
              <w:right w:val="nil"/>
            </w:tcBorders>
            <w:shd w:val="clear" w:color="auto" w:fill="auto"/>
            <w:noWrap/>
            <w:vAlign w:val="center"/>
          </w:tcPr>
          <w:p w14:paraId="2726E980"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2</w:t>
            </w:r>
          </w:p>
        </w:tc>
        <w:tc>
          <w:tcPr>
            <w:tcW w:w="1088" w:type="dxa"/>
            <w:tcBorders>
              <w:top w:val="nil"/>
              <w:left w:val="nil"/>
              <w:bottom w:val="double" w:sz="4" w:space="0" w:color="auto"/>
              <w:right w:val="nil"/>
            </w:tcBorders>
            <w:shd w:val="clear" w:color="auto" w:fill="auto"/>
            <w:noWrap/>
            <w:vAlign w:val="center"/>
          </w:tcPr>
          <w:p w14:paraId="1AD88C4C"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14.3%</w:t>
            </w:r>
          </w:p>
        </w:tc>
        <w:tc>
          <w:tcPr>
            <w:tcW w:w="709" w:type="dxa"/>
            <w:tcBorders>
              <w:top w:val="nil"/>
              <w:left w:val="nil"/>
              <w:bottom w:val="double" w:sz="4" w:space="0" w:color="auto"/>
              <w:right w:val="nil"/>
            </w:tcBorders>
            <w:shd w:val="clear" w:color="auto" w:fill="auto"/>
            <w:noWrap/>
            <w:vAlign w:val="center"/>
          </w:tcPr>
          <w:p w14:paraId="008B0D50"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0</w:t>
            </w:r>
          </w:p>
        </w:tc>
        <w:tc>
          <w:tcPr>
            <w:tcW w:w="992" w:type="dxa"/>
            <w:tcBorders>
              <w:top w:val="nil"/>
              <w:left w:val="nil"/>
              <w:bottom w:val="double" w:sz="4" w:space="0" w:color="auto"/>
              <w:right w:val="nil"/>
            </w:tcBorders>
            <w:shd w:val="clear" w:color="auto" w:fill="auto"/>
            <w:noWrap/>
            <w:vAlign w:val="center"/>
          </w:tcPr>
          <w:p w14:paraId="718A7766" w14:textId="77777777" w:rsidR="00CC47BC" w:rsidRPr="00607C8A" w:rsidRDefault="005E46C3" w:rsidP="00D87B20">
            <w:pPr>
              <w:autoSpaceDE w:val="0"/>
              <w:autoSpaceDN w:val="0"/>
              <w:adjustRightInd w:val="0"/>
              <w:ind w:left="60" w:right="60"/>
              <w:jc w:val="center"/>
              <w:rPr>
                <w:rFonts w:asciiTheme="majorBidi" w:hAnsiTheme="majorBidi" w:cstheme="majorBidi"/>
                <w:color w:val="000000"/>
              </w:rPr>
            </w:pPr>
            <w:r w:rsidRPr="00607C8A">
              <w:rPr>
                <w:rFonts w:asciiTheme="majorBidi" w:hAnsiTheme="majorBidi" w:cstheme="majorBidi"/>
                <w:color w:val="000000"/>
              </w:rPr>
              <w:t>0.0%</w:t>
            </w:r>
          </w:p>
        </w:tc>
        <w:tc>
          <w:tcPr>
            <w:tcW w:w="851" w:type="dxa"/>
            <w:vMerge/>
            <w:tcBorders>
              <w:left w:val="nil"/>
              <w:bottom w:val="double" w:sz="4" w:space="0" w:color="auto"/>
              <w:right w:val="nil"/>
            </w:tcBorders>
            <w:shd w:val="clear" w:color="auto" w:fill="auto"/>
            <w:noWrap/>
            <w:vAlign w:val="bottom"/>
          </w:tcPr>
          <w:p w14:paraId="68136CE1" w14:textId="77777777" w:rsidR="00CC47BC" w:rsidRPr="00607C8A" w:rsidRDefault="00CC47BC" w:rsidP="00D87B20">
            <w:pPr>
              <w:jc w:val="both"/>
              <w:rPr>
                <w:rFonts w:asciiTheme="majorBidi" w:eastAsia="Times New Roman" w:hAnsiTheme="majorBidi" w:cstheme="majorBidi"/>
                <w:color w:val="000000"/>
              </w:rPr>
            </w:pPr>
          </w:p>
        </w:tc>
        <w:tc>
          <w:tcPr>
            <w:tcW w:w="1134" w:type="dxa"/>
            <w:vMerge/>
            <w:tcBorders>
              <w:left w:val="nil"/>
              <w:bottom w:val="double" w:sz="4" w:space="0" w:color="auto"/>
              <w:right w:val="nil"/>
            </w:tcBorders>
            <w:shd w:val="clear" w:color="auto" w:fill="auto"/>
            <w:noWrap/>
            <w:vAlign w:val="bottom"/>
          </w:tcPr>
          <w:p w14:paraId="4C44DD9D" w14:textId="77777777" w:rsidR="00CC47BC" w:rsidRPr="00607C8A" w:rsidRDefault="00CC47BC" w:rsidP="00D87B20">
            <w:pPr>
              <w:jc w:val="both"/>
              <w:rPr>
                <w:rFonts w:asciiTheme="majorBidi" w:eastAsia="Times New Roman" w:hAnsiTheme="majorBidi" w:cstheme="majorBidi"/>
                <w:color w:val="000000"/>
              </w:rPr>
            </w:pPr>
          </w:p>
        </w:tc>
      </w:tr>
    </w:tbl>
    <w:p w14:paraId="77E8BEAD" w14:textId="77777777" w:rsidR="00CC47BC" w:rsidRPr="00607C8A" w:rsidRDefault="005E46C3" w:rsidP="00CC47BC">
      <w:pPr>
        <w:jc w:val="both"/>
        <w:rPr>
          <w:rFonts w:ascii="Times New Roman" w:eastAsia="Times New Roman" w:hAnsi="Times New Roman" w:cs="Times New Roman"/>
          <w:i/>
          <w:iCs/>
          <w:color w:val="000000"/>
        </w:rPr>
      </w:pPr>
      <w:r w:rsidRPr="00607C8A">
        <w:rPr>
          <w:rFonts w:ascii="Times New Roman" w:eastAsia="Times New Roman" w:hAnsi="Times New Roman" w:cs="Times New Roman"/>
          <w:i/>
          <w:iCs/>
          <w:color w:val="000000"/>
        </w:rPr>
        <w:t>* Based on Chi Square</w:t>
      </w:r>
      <w:r w:rsidRPr="00607C8A">
        <w:rPr>
          <w:rFonts w:ascii="Times New Roman" w:eastAsia="Times New Roman" w:hAnsi="Times New Roman" w:cs="Times New Roman"/>
          <w:i/>
          <w:iCs/>
          <w:color w:val="000000"/>
        </w:rPr>
        <w:tab/>
        <w:t>** Statistically significant      NA not applicable</w:t>
      </w:r>
    </w:p>
    <w:p w14:paraId="36E7EAE2" w14:textId="0F0EDEDA" w:rsidR="00CC47BC" w:rsidRDefault="005E46C3" w:rsidP="00CC47BC">
      <w:pPr>
        <w:spacing w:before="100" w:beforeAutospacing="1" w:after="100" w:afterAutospacing="1"/>
        <w:ind w:firstLine="720"/>
        <w:jc w:val="both"/>
        <w:outlineLvl w:val="0"/>
        <w:rPr>
          <w:rFonts w:asciiTheme="majorBidi" w:eastAsia="Times New Roman" w:hAnsiTheme="majorBidi" w:cstheme="majorBidi"/>
        </w:rPr>
      </w:pPr>
      <w:r w:rsidRPr="00D66AF1">
        <w:rPr>
          <w:rFonts w:asciiTheme="majorBidi" w:eastAsia="Times New Roman" w:hAnsiTheme="majorBidi" w:cstheme="majorBidi"/>
        </w:rPr>
        <w:t>No statistically significant difference was detected between multisystem and single system patients according to sex (p&gt;0.05</w:t>
      </w:r>
      <w:r>
        <w:rPr>
          <w:rFonts w:ascii="Times New Roman" w:eastAsia="Times New Roman" w:hAnsi="Times New Roman" w:cs="Times New Roman"/>
        </w:rPr>
        <w:t xml:space="preserve">) </w:t>
      </w:r>
      <w:r w:rsidRPr="00D66AF1">
        <w:rPr>
          <w:rFonts w:asciiTheme="majorBidi" w:eastAsia="Times New Roman" w:hAnsiTheme="majorBidi" w:cstheme="majorBidi"/>
          <w:b/>
          <w:bCs/>
        </w:rPr>
        <w:t>[Table 2]</w:t>
      </w:r>
      <w:r w:rsidRPr="00D66AF1">
        <w:rPr>
          <w:rFonts w:asciiTheme="majorBidi" w:eastAsia="Times New Roman" w:hAnsiTheme="majorBidi" w:cstheme="majorBidi"/>
        </w:rPr>
        <w:t xml:space="preserve">, yet multisystem risk organ involvement was significantly more common among patients aged &lt; 24 months (71.4%) compared to patients with </w:t>
      </w:r>
      <w:r>
        <w:rPr>
          <w:rFonts w:ascii="Times New Roman" w:eastAsia="Times New Roman" w:hAnsi="Times New Roman" w:cs="Times New Roman"/>
        </w:rPr>
        <w:t>a single system (21.1%) (p&lt;0.05). Although not statistically</w:t>
      </w:r>
      <w:r w:rsidRPr="00D66AF1">
        <w:rPr>
          <w:rFonts w:asciiTheme="majorBidi" w:eastAsia="Times New Roman" w:hAnsiTheme="majorBidi" w:cstheme="majorBidi"/>
        </w:rPr>
        <w:t xml:space="preserve"> significant (p&gt;</w:t>
      </w:r>
      <w:r w:rsidRPr="00D66AF1">
        <w:rPr>
          <w:rFonts w:asciiTheme="majorBidi" w:eastAsia="Times New Roman" w:hAnsiTheme="majorBidi" w:cstheme="majorBidi"/>
          <w:color w:val="000000"/>
        </w:rPr>
        <w:t xml:space="preserve">0.086), </w:t>
      </w:r>
      <w:r w:rsidRPr="00D66AF1">
        <w:rPr>
          <w:rFonts w:asciiTheme="majorBidi" w:eastAsia="Times New Roman" w:hAnsiTheme="majorBidi" w:cstheme="majorBidi"/>
        </w:rPr>
        <w:t>half of the patients with multisystem involvement (50.0%) had more reactivation than 21.1% of single system patients. Two multisystem patients died, one of whom died after liver transplant</w:t>
      </w:r>
      <w:r>
        <w:rPr>
          <w:rFonts w:ascii="Times New Roman" w:eastAsia="Times New Roman" w:hAnsi="Times New Roman" w:cs="Times New Roman"/>
        </w:rPr>
        <w:t xml:space="preserve">ation and the other </w:t>
      </w:r>
      <w:r w:rsidRPr="00D66AF1">
        <w:rPr>
          <w:rFonts w:asciiTheme="majorBidi" w:eastAsia="Times New Roman" w:hAnsiTheme="majorBidi" w:cstheme="majorBidi"/>
        </w:rPr>
        <w:t>during reactivation.</w:t>
      </w:r>
      <w:r>
        <w:rPr>
          <w:rFonts w:asciiTheme="majorBidi" w:eastAsia="Times New Roman" w:hAnsiTheme="majorBidi" w:cstheme="majorBidi"/>
        </w:rPr>
        <w:t xml:space="preserve"> </w:t>
      </w:r>
    </w:p>
    <w:p w14:paraId="7A2AB9A3" w14:textId="77777777" w:rsidR="00CC47BC" w:rsidRDefault="005E46C3" w:rsidP="00CC47BC">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5420A4BD" w14:textId="626D530C" w:rsidR="00CC47BC" w:rsidRPr="006C10F8" w:rsidRDefault="005E46C3" w:rsidP="00CC47BC">
      <w:pPr>
        <w:spacing w:before="100" w:beforeAutospacing="1"/>
        <w:jc w:val="both"/>
        <w:outlineLvl w:val="0"/>
        <w:rPr>
          <w:rFonts w:ascii="Times New Roman" w:eastAsia="Times New Roman" w:hAnsi="Times New Roman" w:cs="Times New Roman"/>
          <w:b/>
          <w:bCs/>
        </w:rPr>
      </w:pPr>
      <w:r w:rsidRPr="006C10F8">
        <w:rPr>
          <w:rFonts w:ascii="Times New Roman" w:eastAsia="Times New Roman" w:hAnsi="Times New Roman" w:cs="Times New Roman"/>
          <w:b/>
          <w:bCs/>
        </w:rPr>
        <w:lastRenderedPageBreak/>
        <w:t>Table</w:t>
      </w:r>
      <w:r w:rsidRPr="006C10F8">
        <w:rPr>
          <w:rFonts w:ascii="Times New Roman" w:eastAsia="Times New Roman" w:hAnsi="Times New Roman" w:cs="Times New Roman"/>
          <w:b/>
          <w:bCs/>
          <w:rtl/>
        </w:rPr>
        <w:t xml:space="preserve"> </w:t>
      </w:r>
      <w:r w:rsidRPr="006C10F8">
        <w:rPr>
          <w:rFonts w:ascii="Times New Roman" w:eastAsia="Times New Roman" w:hAnsi="Times New Roman" w:cs="Times New Roman"/>
          <w:b/>
          <w:bCs/>
          <w:rtl/>
        </w:rPr>
        <w:fldChar w:fldCharType="begin"/>
      </w:r>
      <w:r w:rsidRPr="006C10F8">
        <w:rPr>
          <w:rFonts w:ascii="Times New Roman" w:eastAsia="Times New Roman" w:hAnsi="Times New Roman" w:cs="Times New Roman"/>
          <w:b/>
          <w:bCs/>
          <w:rtl/>
        </w:rPr>
        <w:instrText xml:space="preserve"> </w:instrText>
      </w:r>
      <w:r w:rsidRPr="006C10F8">
        <w:rPr>
          <w:rFonts w:ascii="Times New Roman" w:eastAsia="Times New Roman" w:hAnsi="Times New Roman" w:cs="Times New Roman"/>
          <w:b/>
          <w:bCs/>
        </w:rPr>
        <w:instrText>SEQ</w:instrText>
      </w:r>
      <w:r w:rsidRPr="006C10F8">
        <w:rPr>
          <w:rFonts w:ascii="Times New Roman" w:eastAsia="Times New Roman" w:hAnsi="Times New Roman" w:cs="Times New Roman"/>
          <w:b/>
          <w:bCs/>
          <w:rtl/>
        </w:rPr>
        <w:instrText xml:space="preserve"> </w:instrText>
      </w:r>
      <w:r w:rsidRPr="006C10F8">
        <w:rPr>
          <w:rFonts w:ascii="Times New Roman" w:eastAsia="Times New Roman" w:hAnsi="Times New Roman" w:cs="Times New Roman"/>
          <w:b/>
          <w:bCs/>
        </w:rPr>
        <w:instrText>Table \* ARABIC</w:instrText>
      </w:r>
      <w:r w:rsidRPr="006C10F8">
        <w:rPr>
          <w:rFonts w:ascii="Times New Roman" w:eastAsia="Times New Roman" w:hAnsi="Times New Roman" w:cs="Times New Roman"/>
          <w:b/>
          <w:bCs/>
          <w:rtl/>
        </w:rPr>
        <w:instrText xml:space="preserve"> </w:instrText>
      </w:r>
      <w:r w:rsidRPr="006C10F8">
        <w:rPr>
          <w:rFonts w:ascii="Times New Roman" w:eastAsia="Times New Roman" w:hAnsi="Times New Roman" w:cs="Times New Roman"/>
          <w:b/>
          <w:bCs/>
          <w:rtl/>
        </w:rPr>
        <w:fldChar w:fldCharType="separate"/>
      </w:r>
      <w:r w:rsidR="00E14269">
        <w:rPr>
          <w:rFonts w:ascii="Times New Roman" w:eastAsia="Times New Roman" w:hAnsi="Times New Roman" w:cs="Times New Roman"/>
          <w:b/>
          <w:bCs/>
          <w:noProof/>
          <w:rtl/>
        </w:rPr>
        <w:t>3</w:t>
      </w:r>
      <w:r w:rsidRPr="006C10F8">
        <w:rPr>
          <w:rFonts w:ascii="Times New Roman" w:eastAsia="Times New Roman" w:hAnsi="Times New Roman" w:cs="Times New Roman"/>
          <w:b/>
          <w:bCs/>
          <w:rtl/>
        </w:rPr>
        <w:fldChar w:fldCharType="end"/>
      </w:r>
      <w:r w:rsidRPr="006C10F8">
        <w:rPr>
          <w:rFonts w:ascii="Times New Roman" w:eastAsia="Times New Roman" w:hAnsi="Times New Roman" w:cs="Times New Roman"/>
          <w:b/>
          <w:bCs/>
        </w:rPr>
        <w:t>: Treatment protocols and outcomes (n=33).</w:t>
      </w:r>
    </w:p>
    <w:tbl>
      <w:tblPr>
        <w:tblW w:w="4844" w:type="pct"/>
        <w:tblBorders>
          <w:top w:val="double" w:sz="4" w:space="0" w:color="auto"/>
          <w:bottom w:val="double" w:sz="4" w:space="0" w:color="auto"/>
        </w:tblBorders>
        <w:tblLayout w:type="fixed"/>
        <w:tblLook w:val="0000" w:firstRow="0" w:lastRow="0" w:firstColumn="0" w:lastColumn="0" w:noHBand="0" w:noVBand="0"/>
      </w:tblPr>
      <w:tblGrid>
        <w:gridCol w:w="5733"/>
        <w:gridCol w:w="1409"/>
        <w:gridCol w:w="1597"/>
      </w:tblGrid>
      <w:tr w:rsidR="00B7002F" w14:paraId="4F44A9E6" w14:textId="77777777" w:rsidTr="00D87B20">
        <w:tc>
          <w:tcPr>
            <w:tcW w:w="3280" w:type="pct"/>
            <w:tcBorders>
              <w:top w:val="double" w:sz="4" w:space="0" w:color="auto"/>
              <w:bottom w:val="single" w:sz="18" w:space="0" w:color="auto"/>
            </w:tcBorders>
            <w:shd w:val="clear" w:color="auto" w:fill="auto"/>
          </w:tcPr>
          <w:p w14:paraId="035CD0B0" w14:textId="77777777" w:rsidR="00CC47BC" w:rsidRPr="00607C8A" w:rsidRDefault="005E46C3" w:rsidP="00D87B20">
            <w:pPr>
              <w:rPr>
                <w:rFonts w:ascii="Times New Roman" w:eastAsia="Times New Roman" w:hAnsi="Times New Roman" w:cs="Times New Roman"/>
              </w:rPr>
            </w:pPr>
            <w:r>
              <w:rPr>
                <w:rFonts w:ascii="Times New Roman" w:eastAsia="Times New Roman" w:hAnsi="Times New Roman" w:cs="Times New Roman"/>
              </w:rPr>
              <w:t>Treatment protocols and outcome</w:t>
            </w:r>
          </w:p>
        </w:tc>
        <w:tc>
          <w:tcPr>
            <w:tcW w:w="806" w:type="pct"/>
            <w:tcBorders>
              <w:top w:val="double" w:sz="4" w:space="0" w:color="auto"/>
              <w:bottom w:val="single" w:sz="18" w:space="0" w:color="auto"/>
            </w:tcBorders>
            <w:shd w:val="clear" w:color="auto" w:fill="auto"/>
          </w:tcPr>
          <w:p w14:paraId="1ABEA43D" w14:textId="77777777" w:rsidR="00CC47BC" w:rsidRPr="00607C8A" w:rsidRDefault="005E46C3" w:rsidP="00D87B20">
            <w:pPr>
              <w:jc w:val="center"/>
              <w:rPr>
                <w:rFonts w:ascii="Times New Roman" w:eastAsia="Times New Roman" w:hAnsi="Times New Roman" w:cs="Times New Roman"/>
              </w:rPr>
            </w:pPr>
            <w:r w:rsidRPr="00607C8A">
              <w:rPr>
                <w:rFonts w:ascii="Times New Roman" w:eastAsia="Times New Roman" w:hAnsi="Times New Roman" w:cs="Times New Roman"/>
              </w:rPr>
              <w:t>No.</w:t>
            </w:r>
          </w:p>
        </w:tc>
        <w:tc>
          <w:tcPr>
            <w:tcW w:w="914" w:type="pct"/>
            <w:tcBorders>
              <w:top w:val="double" w:sz="4" w:space="0" w:color="auto"/>
              <w:bottom w:val="single" w:sz="18" w:space="0" w:color="auto"/>
            </w:tcBorders>
            <w:shd w:val="clear" w:color="auto" w:fill="auto"/>
          </w:tcPr>
          <w:p w14:paraId="1EAF89C2" w14:textId="77777777" w:rsidR="00CC47BC" w:rsidRPr="00607C8A" w:rsidRDefault="005E46C3" w:rsidP="00D87B20">
            <w:pPr>
              <w:jc w:val="center"/>
              <w:rPr>
                <w:rFonts w:ascii="Times New Roman" w:eastAsia="Times New Roman" w:hAnsi="Times New Roman" w:cs="Times New Roman"/>
              </w:rPr>
            </w:pPr>
            <w:r w:rsidRPr="00607C8A">
              <w:rPr>
                <w:rFonts w:ascii="Times New Roman" w:eastAsia="Times New Roman" w:hAnsi="Times New Roman" w:cs="Times New Roman"/>
              </w:rPr>
              <w:t>Percentage</w:t>
            </w:r>
          </w:p>
        </w:tc>
      </w:tr>
      <w:tr w:rsidR="00B7002F" w14:paraId="552D5F4C" w14:textId="77777777" w:rsidTr="00D87B20">
        <w:tc>
          <w:tcPr>
            <w:tcW w:w="3280" w:type="pct"/>
            <w:tcBorders>
              <w:top w:val="single" w:sz="18" w:space="0" w:color="auto"/>
              <w:bottom w:val="nil"/>
            </w:tcBorders>
            <w:shd w:val="clear" w:color="auto" w:fill="auto"/>
          </w:tcPr>
          <w:p w14:paraId="1836AEE7" w14:textId="77777777" w:rsidR="00CC47BC" w:rsidRPr="00607C8A" w:rsidRDefault="005E46C3" w:rsidP="00D87B20">
            <w:pPr>
              <w:rPr>
                <w:rFonts w:ascii="Times New Roman" w:eastAsia="Times New Roman" w:hAnsi="Times New Roman" w:cs="Times New Roman"/>
                <w:b/>
                <w:bCs/>
                <w:i/>
                <w:iCs/>
              </w:rPr>
            </w:pPr>
            <w:r w:rsidRPr="00607C8A">
              <w:rPr>
                <w:rFonts w:ascii="Times New Roman" w:eastAsia="Times New Roman" w:hAnsi="Times New Roman" w:cs="Times New Roman"/>
                <w:b/>
                <w:bCs/>
                <w:i/>
                <w:iCs/>
              </w:rPr>
              <w:t>Treatment provided:</w:t>
            </w:r>
          </w:p>
        </w:tc>
        <w:tc>
          <w:tcPr>
            <w:tcW w:w="806" w:type="pct"/>
            <w:tcBorders>
              <w:top w:val="single" w:sz="18" w:space="0" w:color="auto"/>
              <w:bottom w:val="nil"/>
            </w:tcBorders>
            <w:shd w:val="clear" w:color="auto" w:fill="auto"/>
          </w:tcPr>
          <w:p w14:paraId="04E09F4D" w14:textId="77777777" w:rsidR="00CC47BC" w:rsidRPr="00607C8A" w:rsidRDefault="00CC47BC" w:rsidP="00D87B20">
            <w:pPr>
              <w:jc w:val="center"/>
              <w:rPr>
                <w:rFonts w:ascii="Times New Roman" w:eastAsia="Times New Roman" w:hAnsi="Times New Roman" w:cs="Times New Roman"/>
              </w:rPr>
            </w:pPr>
          </w:p>
        </w:tc>
        <w:tc>
          <w:tcPr>
            <w:tcW w:w="914" w:type="pct"/>
            <w:tcBorders>
              <w:top w:val="single" w:sz="18" w:space="0" w:color="auto"/>
              <w:bottom w:val="nil"/>
            </w:tcBorders>
            <w:shd w:val="clear" w:color="auto" w:fill="auto"/>
          </w:tcPr>
          <w:p w14:paraId="384BF61C" w14:textId="77777777" w:rsidR="00CC47BC" w:rsidRPr="00607C8A" w:rsidRDefault="00CC47BC" w:rsidP="00D87B20">
            <w:pPr>
              <w:jc w:val="center"/>
              <w:rPr>
                <w:rFonts w:ascii="Times New Roman" w:eastAsia="Times New Roman" w:hAnsi="Times New Roman" w:cs="Times New Roman"/>
              </w:rPr>
            </w:pPr>
          </w:p>
        </w:tc>
      </w:tr>
      <w:tr w:rsidR="00B7002F" w14:paraId="4616C261" w14:textId="77777777" w:rsidTr="00D87B20">
        <w:tc>
          <w:tcPr>
            <w:tcW w:w="3280" w:type="pct"/>
            <w:tcBorders>
              <w:bottom w:val="nil"/>
            </w:tcBorders>
            <w:shd w:val="clear" w:color="auto" w:fill="auto"/>
          </w:tcPr>
          <w:p w14:paraId="48ADB941"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Surgery</w:t>
            </w:r>
          </w:p>
        </w:tc>
        <w:tc>
          <w:tcPr>
            <w:tcW w:w="806" w:type="pct"/>
            <w:tcBorders>
              <w:bottom w:val="nil"/>
            </w:tcBorders>
            <w:shd w:val="clear" w:color="auto" w:fill="auto"/>
          </w:tcPr>
          <w:p w14:paraId="4BA8D9DD"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6</w:t>
            </w:r>
          </w:p>
        </w:tc>
        <w:tc>
          <w:tcPr>
            <w:tcW w:w="914" w:type="pct"/>
            <w:tcBorders>
              <w:bottom w:val="nil"/>
            </w:tcBorders>
            <w:shd w:val="clear" w:color="auto" w:fill="auto"/>
          </w:tcPr>
          <w:p w14:paraId="27BAD8AA"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18.2</w:t>
            </w:r>
          </w:p>
        </w:tc>
      </w:tr>
      <w:tr w:rsidR="00B7002F" w14:paraId="6D395AF6" w14:textId="77777777" w:rsidTr="00D87B20">
        <w:tc>
          <w:tcPr>
            <w:tcW w:w="3280" w:type="pct"/>
            <w:tcBorders>
              <w:bottom w:val="nil"/>
            </w:tcBorders>
            <w:shd w:val="clear" w:color="auto" w:fill="auto"/>
          </w:tcPr>
          <w:p w14:paraId="722BEE29"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Radiotherapy</w:t>
            </w:r>
          </w:p>
        </w:tc>
        <w:tc>
          <w:tcPr>
            <w:tcW w:w="806" w:type="pct"/>
            <w:tcBorders>
              <w:bottom w:val="nil"/>
            </w:tcBorders>
            <w:shd w:val="clear" w:color="auto" w:fill="auto"/>
          </w:tcPr>
          <w:p w14:paraId="1A5C7C74"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bottom w:val="nil"/>
            </w:tcBorders>
            <w:shd w:val="clear" w:color="auto" w:fill="auto"/>
          </w:tcPr>
          <w:p w14:paraId="691F34CC"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3.0</w:t>
            </w:r>
          </w:p>
        </w:tc>
      </w:tr>
      <w:tr w:rsidR="00B7002F" w14:paraId="57CB6E37" w14:textId="77777777" w:rsidTr="00D87B20">
        <w:tc>
          <w:tcPr>
            <w:tcW w:w="3280" w:type="pct"/>
            <w:tcBorders>
              <w:bottom w:val="nil"/>
            </w:tcBorders>
            <w:shd w:val="clear" w:color="auto" w:fill="auto"/>
          </w:tcPr>
          <w:p w14:paraId="4C637BF0" w14:textId="77777777" w:rsidR="00CC47BC" w:rsidRPr="00607C8A" w:rsidRDefault="005E46C3" w:rsidP="00D87B20">
            <w:pPr>
              <w:autoSpaceDE w:val="0"/>
              <w:autoSpaceDN w:val="0"/>
              <w:adjustRightInd w:val="0"/>
              <w:ind w:left="720"/>
              <w:rPr>
                <w:rFonts w:ascii="Times New Roman" w:eastAsia="Times New Roman" w:hAnsi="Times New Roman" w:cs="Times New Roman"/>
                <w:rtl/>
              </w:rPr>
            </w:pPr>
            <w:r w:rsidRPr="00607C8A">
              <w:rPr>
                <w:rFonts w:ascii="Times New Roman" w:eastAsia="Times New Roman" w:hAnsi="Times New Roman" w:cs="Times New Roman"/>
              </w:rPr>
              <w:t>Observation</w:t>
            </w:r>
          </w:p>
        </w:tc>
        <w:tc>
          <w:tcPr>
            <w:tcW w:w="806" w:type="pct"/>
            <w:tcBorders>
              <w:bottom w:val="nil"/>
            </w:tcBorders>
            <w:shd w:val="clear" w:color="auto" w:fill="auto"/>
          </w:tcPr>
          <w:p w14:paraId="1F9687AC"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bottom w:val="nil"/>
            </w:tcBorders>
            <w:shd w:val="clear" w:color="auto" w:fill="auto"/>
          </w:tcPr>
          <w:p w14:paraId="6CDF9105"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3.0</w:t>
            </w:r>
          </w:p>
        </w:tc>
      </w:tr>
      <w:tr w:rsidR="00B7002F" w14:paraId="2EBF18E3" w14:textId="77777777" w:rsidTr="00D87B20">
        <w:tc>
          <w:tcPr>
            <w:tcW w:w="3280" w:type="pct"/>
            <w:tcBorders>
              <w:bottom w:val="nil"/>
            </w:tcBorders>
            <w:shd w:val="clear" w:color="auto" w:fill="auto"/>
          </w:tcPr>
          <w:p w14:paraId="3250287F" w14:textId="77777777" w:rsidR="00CC47BC" w:rsidRPr="00607C8A" w:rsidRDefault="005E46C3" w:rsidP="00D87B20">
            <w:pPr>
              <w:autoSpaceDE w:val="0"/>
              <w:autoSpaceDN w:val="0"/>
              <w:adjustRightInd w:val="0"/>
              <w:ind w:left="720"/>
              <w:rPr>
                <w:rFonts w:ascii="Times New Roman" w:eastAsia="Times New Roman" w:hAnsi="Times New Roman" w:cs="Times New Roman"/>
                <w:b/>
                <w:bCs/>
              </w:rPr>
            </w:pPr>
            <w:r w:rsidRPr="00607C8A">
              <w:rPr>
                <w:rFonts w:ascii="Times New Roman" w:eastAsia="Times New Roman" w:hAnsi="Times New Roman" w:cs="Times New Roman"/>
                <w:b/>
                <w:bCs/>
              </w:rPr>
              <w:t>Chemotherapy</w:t>
            </w:r>
          </w:p>
        </w:tc>
        <w:tc>
          <w:tcPr>
            <w:tcW w:w="806" w:type="pct"/>
            <w:tcBorders>
              <w:bottom w:val="nil"/>
            </w:tcBorders>
            <w:shd w:val="clear" w:color="auto" w:fill="auto"/>
          </w:tcPr>
          <w:p w14:paraId="482E54EC"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26</w:t>
            </w:r>
          </w:p>
        </w:tc>
        <w:tc>
          <w:tcPr>
            <w:tcW w:w="914" w:type="pct"/>
            <w:tcBorders>
              <w:bottom w:val="nil"/>
            </w:tcBorders>
            <w:shd w:val="clear" w:color="auto" w:fill="auto"/>
          </w:tcPr>
          <w:p w14:paraId="347CB1D5"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78.8</w:t>
            </w:r>
          </w:p>
        </w:tc>
      </w:tr>
      <w:tr w:rsidR="00B7002F" w14:paraId="1B975600" w14:textId="77777777" w:rsidTr="00D87B20">
        <w:tc>
          <w:tcPr>
            <w:tcW w:w="3280" w:type="pct"/>
            <w:tcBorders>
              <w:bottom w:val="nil"/>
            </w:tcBorders>
            <w:shd w:val="clear" w:color="auto" w:fill="auto"/>
          </w:tcPr>
          <w:p w14:paraId="742A9481" w14:textId="77777777" w:rsidR="00CC47BC" w:rsidRPr="00607C8A" w:rsidRDefault="005E46C3" w:rsidP="00D87B20">
            <w:pPr>
              <w:autoSpaceDE w:val="0"/>
              <w:autoSpaceDN w:val="0"/>
              <w:adjustRightInd w:val="0"/>
              <w:ind w:left="720"/>
              <w:rPr>
                <w:rFonts w:ascii="Times New Roman" w:eastAsia="Times New Roman" w:hAnsi="Times New Roman" w:cs="Times New Roman"/>
                <w:i/>
                <w:iCs/>
              </w:rPr>
            </w:pPr>
            <w:r w:rsidRPr="00607C8A">
              <w:rPr>
                <w:rFonts w:ascii="Times New Roman" w:eastAsia="Times New Roman" w:hAnsi="Times New Roman" w:cs="Times New Roman"/>
              </w:rPr>
              <w:t xml:space="preserve">      </w:t>
            </w:r>
            <w:r w:rsidRPr="00607C8A">
              <w:rPr>
                <w:rFonts w:ascii="Times New Roman" w:eastAsia="Times New Roman" w:hAnsi="Times New Roman" w:cs="Times New Roman"/>
                <w:i/>
                <w:iCs/>
              </w:rPr>
              <w:t>Chemotherapy protocol name</w:t>
            </w:r>
          </w:p>
        </w:tc>
        <w:tc>
          <w:tcPr>
            <w:tcW w:w="806" w:type="pct"/>
            <w:tcBorders>
              <w:bottom w:val="nil"/>
            </w:tcBorders>
            <w:shd w:val="clear" w:color="auto" w:fill="auto"/>
          </w:tcPr>
          <w:p w14:paraId="2090031D"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c>
          <w:tcPr>
            <w:tcW w:w="914" w:type="pct"/>
            <w:tcBorders>
              <w:bottom w:val="nil"/>
            </w:tcBorders>
            <w:shd w:val="clear" w:color="auto" w:fill="auto"/>
          </w:tcPr>
          <w:p w14:paraId="4FD438E4"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r>
      <w:tr w:rsidR="00B7002F" w14:paraId="3224E377" w14:textId="77777777" w:rsidTr="00D87B20">
        <w:tc>
          <w:tcPr>
            <w:tcW w:w="3280" w:type="pct"/>
            <w:tcBorders>
              <w:bottom w:val="nil"/>
            </w:tcBorders>
            <w:shd w:val="clear" w:color="auto" w:fill="auto"/>
          </w:tcPr>
          <w:p w14:paraId="17CB094E" w14:textId="77777777" w:rsidR="00CC47BC" w:rsidRPr="00607C8A" w:rsidRDefault="00CC47BC" w:rsidP="00D87B20">
            <w:pPr>
              <w:autoSpaceDE w:val="0"/>
              <w:autoSpaceDN w:val="0"/>
              <w:adjustRightInd w:val="0"/>
              <w:rPr>
                <w:rFonts w:ascii="Times New Roman" w:eastAsia="Times New Roman" w:hAnsi="Times New Roman" w:cs="Times New Roman"/>
                <w:rtl/>
              </w:rPr>
            </w:pPr>
          </w:p>
        </w:tc>
        <w:tc>
          <w:tcPr>
            <w:tcW w:w="806" w:type="pct"/>
            <w:tcBorders>
              <w:bottom w:val="nil"/>
            </w:tcBorders>
            <w:shd w:val="clear" w:color="auto" w:fill="auto"/>
          </w:tcPr>
          <w:p w14:paraId="6330BDDD"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c>
          <w:tcPr>
            <w:tcW w:w="914" w:type="pct"/>
            <w:tcBorders>
              <w:bottom w:val="nil"/>
            </w:tcBorders>
            <w:shd w:val="clear" w:color="auto" w:fill="auto"/>
          </w:tcPr>
          <w:p w14:paraId="5FF0C0E4"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r>
      <w:tr w:rsidR="00B7002F" w14:paraId="72937008" w14:textId="77777777" w:rsidTr="00D87B20">
        <w:tc>
          <w:tcPr>
            <w:tcW w:w="3280" w:type="pct"/>
            <w:tcBorders>
              <w:bottom w:val="nil"/>
            </w:tcBorders>
            <w:shd w:val="clear" w:color="auto" w:fill="auto"/>
          </w:tcPr>
          <w:p w14:paraId="4C3710A4" w14:textId="77777777" w:rsidR="00CC47BC" w:rsidRPr="00607C8A" w:rsidRDefault="005E46C3" w:rsidP="00D87B20">
            <w:pPr>
              <w:autoSpaceDE w:val="0"/>
              <w:autoSpaceDN w:val="0"/>
              <w:adjustRightInd w:val="0"/>
              <w:ind w:left="1596"/>
              <w:rPr>
                <w:rFonts w:ascii="Times New Roman" w:eastAsia="Times New Roman" w:hAnsi="Times New Roman" w:cs="Times New Roman"/>
              </w:rPr>
            </w:pPr>
            <w:r w:rsidRPr="00607C8A">
              <w:rPr>
                <w:rFonts w:ascii="Times New Roman" w:eastAsia="Times New Roman" w:hAnsi="Times New Roman" w:cs="Times New Roman"/>
              </w:rPr>
              <w:t>LCHIII Arm A</w:t>
            </w:r>
            <w:r>
              <w:rPr>
                <w:rFonts w:ascii="Times New Roman" w:eastAsia="Times New Roman" w:hAnsi="Times New Roman" w:cs="Times New Roman"/>
              </w:rPr>
              <w:t>*</w:t>
            </w:r>
          </w:p>
        </w:tc>
        <w:tc>
          <w:tcPr>
            <w:tcW w:w="806" w:type="pct"/>
            <w:tcBorders>
              <w:bottom w:val="nil"/>
            </w:tcBorders>
            <w:shd w:val="clear" w:color="auto" w:fill="auto"/>
          </w:tcPr>
          <w:p w14:paraId="77863732"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25</w:t>
            </w:r>
          </w:p>
        </w:tc>
        <w:tc>
          <w:tcPr>
            <w:tcW w:w="914" w:type="pct"/>
            <w:tcBorders>
              <w:bottom w:val="nil"/>
            </w:tcBorders>
            <w:shd w:val="clear" w:color="auto" w:fill="auto"/>
          </w:tcPr>
          <w:p w14:paraId="73006E46"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75.7</w:t>
            </w:r>
          </w:p>
        </w:tc>
      </w:tr>
      <w:tr w:rsidR="00B7002F" w14:paraId="26E63C57" w14:textId="77777777" w:rsidTr="00D87B20">
        <w:tc>
          <w:tcPr>
            <w:tcW w:w="3280" w:type="pct"/>
            <w:tcBorders>
              <w:bottom w:val="nil"/>
            </w:tcBorders>
            <w:shd w:val="clear" w:color="auto" w:fill="auto"/>
          </w:tcPr>
          <w:p w14:paraId="1D3DE5CF" w14:textId="77777777" w:rsidR="00CC47BC" w:rsidRPr="00607C8A" w:rsidRDefault="005E46C3" w:rsidP="00D87B20">
            <w:pPr>
              <w:autoSpaceDE w:val="0"/>
              <w:autoSpaceDN w:val="0"/>
              <w:adjustRightInd w:val="0"/>
              <w:ind w:left="1596"/>
              <w:rPr>
                <w:rFonts w:ascii="Times New Roman" w:eastAsia="Times New Roman" w:hAnsi="Times New Roman" w:cs="Times New Roman"/>
              </w:rPr>
            </w:pPr>
            <w:r w:rsidRPr="00607C8A">
              <w:rPr>
                <w:rFonts w:ascii="Times New Roman" w:eastAsia="Times New Roman" w:hAnsi="Times New Roman" w:cs="Times New Roman"/>
              </w:rPr>
              <w:t>LCHIII Arm B</w:t>
            </w:r>
            <w:r>
              <w:rPr>
                <w:rFonts w:ascii="Times New Roman" w:eastAsia="Times New Roman" w:hAnsi="Times New Roman" w:cs="Times New Roman"/>
              </w:rPr>
              <w:t>*</w:t>
            </w:r>
          </w:p>
        </w:tc>
        <w:tc>
          <w:tcPr>
            <w:tcW w:w="806" w:type="pct"/>
            <w:tcBorders>
              <w:bottom w:val="nil"/>
            </w:tcBorders>
            <w:shd w:val="clear" w:color="auto" w:fill="auto"/>
          </w:tcPr>
          <w:p w14:paraId="6AA5F643"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bottom w:val="nil"/>
            </w:tcBorders>
            <w:shd w:val="clear" w:color="auto" w:fill="auto"/>
          </w:tcPr>
          <w:p w14:paraId="7BE54DCA"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3.0</w:t>
            </w:r>
          </w:p>
        </w:tc>
      </w:tr>
      <w:tr w:rsidR="00B7002F" w14:paraId="6FAED44A" w14:textId="77777777" w:rsidTr="00D87B20">
        <w:tc>
          <w:tcPr>
            <w:tcW w:w="3280" w:type="pct"/>
            <w:tcBorders>
              <w:bottom w:val="nil"/>
            </w:tcBorders>
            <w:shd w:val="clear" w:color="auto" w:fill="auto"/>
          </w:tcPr>
          <w:p w14:paraId="69A5961E"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 xml:space="preserve">      </w:t>
            </w:r>
            <w:r w:rsidRPr="00607C8A">
              <w:rPr>
                <w:rFonts w:ascii="Times New Roman" w:eastAsia="Times New Roman" w:hAnsi="Times New Roman" w:cs="Times New Roman"/>
                <w:i/>
                <w:iCs/>
              </w:rPr>
              <w:t>Initial therapy</w:t>
            </w:r>
          </w:p>
        </w:tc>
        <w:tc>
          <w:tcPr>
            <w:tcW w:w="806" w:type="pct"/>
            <w:tcBorders>
              <w:bottom w:val="nil"/>
            </w:tcBorders>
            <w:shd w:val="clear" w:color="auto" w:fill="auto"/>
          </w:tcPr>
          <w:p w14:paraId="107CE5CD"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c>
          <w:tcPr>
            <w:tcW w:w="914" w:type="pct"/>
            <w:tcBorders>
              <w:bottom w:val="nil"/>
            </w:tcBorders>
            <w:shd w:val="clear" w:color="auto" w:fill="auto"/>
          </w:tcPr>
          <w:p w14:paraId="2288A857"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r>
      <w:tr w:rsidR="00B7002F" w14:paraId="743FD9A3" w14:textId="77777777" w:rsidTr="00D87B20">
        <w:tc>
          <w:tcPr>
            <w:tcW w:w="3280" w:type="pct"/>
            <w:tcBorders>
              <w:bottom w:val="nil"/>
            </w:tcBorders>
            <w:shd w:val="clear" w:color="auto" w:fill="auto"/>
          </w:tcPr>
          <w:p w14:paraId="21130E0D" w14:textId="77777777" w:rsidR="00CC47BC" w:rsidRPr="00607C8A" w:rsidRDefault="005E46C3" w:rsidP="00D87B20">
            <w:pPr>
              <w:autoSpaceDE w:val="0"/>
              <w:autoSpaceDN w:val="0"/>
              <w:adjustRightInd w:val="0"/>
              <w:ind w:left="1596"/>
              <w:rPr>
                <w:rFonts w:ascii="Times New Roman" w:eastAsia="Times New Roman" w:hAnsi="Times New Roman" w:cs="Times New Roman"/>
                <w:rtl/>
              </w:rPr>
            </w:pPr>
            <w:r w:rsidRPr="00607C8A">
              <w:rPr>
                <w:rFonts w:ascii="Times New Roman" w:eastAsia="Times New Roman" w:hAnsi="Times New Roman" w:cs="Times New Roman"/>
              </w:rPr>
              <w:t>VBL/PDN</w:t>
            </w:r>
            <w:r>
              <w:rPr>
                <w:rFonts w:ascii="Times New Roman" w:eastAsia="Times New Roman" w:hAnsi="Times New Roman" w:cs="Times New Roman"/>
              </w:rPr>
              <w:t>*</w:t>
            </w:r>
          </w:p>
        </w:tc>
        <w:tc>
          <w:tcPr>
            <w:tcW w:w="806" w:type="pct"/>
            <w:tcBorders>
              <w:bottom w:val="nil"/>
            </w:tcBorders>
            <w:shd w:val="clear" w:color="auto" w:fill="auto"/>
          </w:tcPr>
          <w:p w14:paraId="730EC33D"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26</w:t>
            </w:r>
          </w:p>
        </w:tc>
        <w:tc>
          <w:tcPr>
            <w:tcW w:w="914" w:type="pct"/>
            <w:tcBorders>
              <w:bottom w:val="nil"/>
            </w:tcBorders>
            <w:shd w:val="clear" w:color="auto" w:fill="auto"/>
          </w:tcPr>
          <w:p w14:paraId="1864F60C"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78.8</w:t>
            </w:r>
          </w:p>
        </w:tc>
      </w:tr>
      <w:tr w:rsidR="00B7002F" w14:paraId="59D73B86" w14:textId="77777777" w:rsidTr="00D87B20">
        <w:tc>
          <w:tcPr>
            <w:tcW w:w="3280" w:type="pct"/>
            <w:tcBorders>
              <w:bottom w:val="nil"/>
            </w:tcBorders>
            <w:shd w:val="clear" w:color="auto" w:fill="auto"/>
          </w:tcPr>
          <w:p w14:paraId="508D33A8" w14:textId="77777777" w:rsidR="00CC47BC" w:rsidRPr="00607C8A" w:rsidRDefault="005E46C3" w:rsidP="00D87B20">
            <w:pPr>
              <w:autoSpaceDE w:val="0"/>
              <w:autoSpaceDN w:val="0"/>
              <w:adjustRightInd w:val="0"/>
              <w:ind w:left="1029"/>
              <w:rPr>
                <w:rFonts w:ascii="Times New Roman" w:eastAsia="Times New Roman" w:hAnsi="Times New Roman" w:cs="Times New Roman"/>
              </w:rPr>
            </w:pPr>
            <w:r w:rsidRPr="00607C8A">
              <w:rPr>
                <w:rFonts w:ascii="Times New Roman" w:eastAsia="Times New Roman" w:hAnsi="Times New Roman" w:cs="Times New Roman"/>
                <w:i/>
                <w:iCs/>
              </w:rPr>
              <w:t>6 MP Given</w:t>
            </w:r>
          </w:p>
        </w:tc>
        <w:tc>
          <w:tcPr>
            <w:tcW w:w="806" w:type="pct"/>
            <w:tcBorders>
              <w:bottom w:val="nil"/>
            </w:tcBorders>
            <w:shd w:val="clear" w:color="auto" w:fill="auto"/>
          </w:tcPr>
          <w:p w14:paraId="54038E2B"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17</w:t>
            </w:r>
          </w:p>
        </w:tc>
        <w:tc>
          <w:tcPr>
            <w:tcW w:w="914" w:type="pct"/>
            <w:tcBorders>
              <w:bottom w:val="nil"/>
            </w:tcBorders>
            <w:shd w:val="clear" w:color="auto" w:fill="auto"/>
          </w:tcPr>
          <w:p w14:paraId="2771F52B"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51.5</w:t>
            </w:r>
          </w:p>
        </w:tc>
      </w:tr>
      <w:tr w:rsidR="00B7002F" w14:paraId="189F13A5" w14:textId="77777777" w:rsidTr="00D87B20">
        <w:tc>
          <w:tcPr>
            <w:tcW w:w="3280" w:type="pct"/>
            <w:tcBorders>
              <w:top w:val="nil"/>
              <w:bottom w:val="single" w:sz="4" w:space="0" w:color="auto"/>
            </w:tcBorders>
            <w:shd w:val="clear" w:color="auto" w:fill="auto"/>
          </w:tcPr>
          <w:p w14:paraId="311379C5" w14:textId="77777777" w:rsidR="00CC47BC" w:rsidRPr="00607C8A" w:rsidRDefault="005E46C3" w:rsidP="00D87B20">
            <w:pPr>
              <w:autoSpaceDE w:val="0"/>
              <w:autoSpaceDN w:val="0"/>
              <w:adjustRightInd w:val="0"/>
              <w:ind w:left="1030"/>
              <w:rPr>
                <w:rFonts w:ascii="Times New Roman" w:eastAsia="Times New Roman" w:hAnsi="Times New Roman" w:cs="Times New Roman"/>
              </w:rPr>
            </w:pPr>
            <w:r w:rsidRPr="00607C8A">
              <w:rPr>
                <w:rFonts w:ascii="Times New Roman" w:eastAsia="Times New Roman" w:hAnsi="Times New Roman" w:cs="Times New Roman"/>
                <w:i/>
                <w:iCs/>
              </w:rPr>
              <w:t>Salvage</w:t>
            </w:r>
          </w:p>
        </w:tc>
        <w:tc>
          <w:tcPr>
            <w:tcW w:w="806" w:type="pct"/>
            <w:tcBorders>
              <w:top w:val="nil"/>
              <w:bottom w:val="single" w:sz="4" w:space="0" w:color="auto"/>
            </w:tcBorders>
            <w:shd w:val="clear" w:color="auto" w:fill="auto"/>
            <w:vAlign w:val="center"/>
          </w:tcPr>
          <w:p w14:paraId="5333383B"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4</w:t>
            </w:r>
          </w:p>
        </w:tc>
        <w:tc>
          <w:tcPr>
            <w:tcW w:w="914" w:type="pct"/>
            <w:tcBorders>
              <w:top w:val="nil"/>
              <w:bottom w:val="single" w:sz="4" w:space="0" w:color="auto"/>
            </w:tcBorders>
            <w:shd w:val="clear" w:color="auto" w:fill="auto"/>
            <w:vAlign w:val="center"/>
          </w:tcPr>
          <w:p w14:paraId="6F011C14"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12.1</w:t>
            </w:r>
          </w:p>
        </w:tc>
      </w:tr>
      <w:tr w:rsidR="00B7002F" w14:paraId="7744DC9A" w14:textId="77777777" w:rsidTr="00D87B20">
        <w:tc>
          <w:tcPr>
            <w:tcW w:w="3280" w:type="pct"/>
            <w:tcBorders>
              <w:top w:val="single" w:sz="4" w:space="0" w:color="auto"/>
              <w:bottom w:val="nil"/>
            </w:tcBorders>
            <w:shd w:val="clear" w:color="auto" w:fill="auto"/>
          </w:tcPr>
          <w:p w14:paraId="29C15578" w14:textId="77777777" w:rsidR="00CC47BC" w:rsidRPr="00607C8A" w:rsidRDefault="005E46C3" w:rsidP="00D87B20">
            <w:pPr>
              <w:autoSpaceDE w:val="0"/>
              <w:autoSpaceDN w:val="0"/>
              <w:adjustRightInd w:val="0"/>
              <w:ind w:left="746"/>
              <w:rPr>
                <w:rFonts w:ascii="Times New Roman" w:eastAsia="Times New Roman" w:hAnsi="Times New Roman" w:cs="Times New Roman"/>
              </w:rPr>
            </w:pPr>
            <w:r w:rsidRPr="00607C8A">
              <w:rPr>
                <w:rFonts w:ascii="Times New Roman" w:eastAsia="Times New Roman" w:hAnsi="Times New Roman" w:cs="Times New Roman"/>
                <w:b/>
                <w:bCs/>
                <w:i/>
                <w:iCs/>
              </w:rPr>
              <w:t>Duration of initial therapy (n=26):</w:t>
            </w:r>
          </w:p>
        </w:tc>
        <w:tc>
          <w:tcPr>
            <w:tcW w:w="806" w:type="pct"/>
            <w:tcBorders>
              <w:top w:val="single" w:sz="4" w:space="0" w:color="auto"/>
              <w:bottom w:val="nil"/>
            </w:tcBorders>
            <w:shd w:val="clear" w:color="auto" w:fill="auto"/>
          </w:tcPr>
          <w:p w14:paraId="78F89CBB"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c>
          <w:tcPr>
            <w:tcW w:w="914" w:type="pct"/>
            <w:tcBorders>
              <w:top w:val="single" w:sz="4" w:space="0" w:color="auto"/>
              <w:bottom w:val="nil"/>
            </w:tcBorders>
            <w:shd w:val="clear" w:color="auto" w:fill="auto"/>
          </w:tcPr>
          <w:p w14:paraId="74A19E5A"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r>
      <w:tr w:rsidR="00B7002F" w14:paraId="5B6825B8" w14:textId="77777777" w:rsidTr="00D87B20">
        <w:tc>
          <w:tcPr>
            <w:tcW w:w="3280" w:type="pct"/>
            <w:tcBorders>
              <w:bottom w:val="nil"/>
            </w:tcBorders>
            <w:shd w:val="clear" w:color="auto" w:fill="auto"/>
          </w:tcPr>
          <w:p w14:paraId="27CFEE2B" w14:textId="77777777" w:rsidR="00CC47BC" w:rsidRPr="00607C8A" w:rsidRDefault="005E46C3" w:rsidP="00D87B20">
            <w:pPr>
              <w:autoSpaceDE w:val="0"/>
              <w:autoSpaceDN w:val="0"/>
              <w:adjustRightInd w:val="0"/>
              <w:ind w:left="1171"/>
              <w:rPr>
                <w:rFonts w:ascii="Times New Roman" w:eastAsia="Times New Roman" w:hAnsi="Times New Roman" w:cs="Times New Roman"/>
              </w:rPr>
            </w:pPr>
            <w:r w:rsidRPr="00607C8A">
              <w:rPr>
                <w:rFonts w:ascii="Times New Roman" w:eastAsia="Times New Roman" w:hAnsi="Times New Roman" w:cs="Times New Roman"/>
              </w:rPr>
              <w:t>6 months</w:t>
            </w:r>
          </w:p>
        </w:tc>
        <w:tc>
          <w:tcPr>
            <w:tcW w:w="806" w:type="pct"/>
            <w:tcBorders>
              <w:bottom w:val="nil"/>
            </w:tcBorders>
            <w:shd w:val="clear" w:color="auto" w:fill="auto"/>
          </w:tcPr>
          <w:p w14:paraId="6EF0A296"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w:t>
            </w:r>
          </w:p>
        </w:tc>
        <w:tc>
          <w:tcPr>
            <w:tcW w:w="914" w:type="pct"/>
            <w:tcBorders>
              <w:bottom w:val="nil"/>
            </w:tcBorders>
            <w:shd w:val="clear" w:color="auto" w:fill="auto"/>
          </w:tcPr>
          <w:p w14:paraId="209A52D3"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7.7</w:t>
            </w:r>
          </w:p>
        </w:tc>
      </w:tr>
      <w:tr w:rsidR="00B7002F" w14:paraId="20B03BDF" w14:textId="77777777" w:rsidTr="00D87B20">
        <w:tc>
          <w:tcPr>
            <w:tcW w:w="3280" w:type="pct"/>
            <w:tcBorders>
              <w:bottom w:val="nil"/>
            </w:tcBorders>
            <w:shd w:val="clear" w:color="auto" w:fill="auto"/>
          </w:tcPr>
          <w:p w14:paraId="457BDF1B" w14:textId="77777777" w:rsidR="00CC47BC" w:rsidRPr="00607C8A" w:rsidRDefault="005E46C3" w:rsidP="00D87B20">
            <w:pPr>
              <w:autoSpaceDE w:val="0"/>
              <w:autoSpaceDN w:val="0"/>
              <w:adjustRightInd w:val="0"/>
              <w:ind w:left="1171"/>
              <w:rPr>
                <w:rFonts w:ascii="Times New Roman" w:eastAsia="Times New Roman" w:hAnsi="Times New Roman" w:cs="Times New Roman"/>
              </w:rPr>
            </w:pPr>
            <w:r w:rsidRPr="00607C8A">
              <w:rPr>
                <w:rFonts w:ascii="Times New Roman" w:eastAsia="Times New Roman" w:hAnsi="Times New Roman" w:cs="Times New Roman"/>
              </w:rPr>
              <w:t>12 months</w:t>
            </w:r>
          </w:p>
        </w:tc>
        <w:tc>
          <w:tcPr>
            <w:tcW w:w="806" w:type="pct"/>
            <w:tcBorders>
              <w:bottom w:val="nil"/>
            </w:tcBorders>
            <w:shd w:val="clear" w:color="auto" w:fill="auto"/>
          </w:tcPr>
          <w:p w14:paraId="3C2AF1CA"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22</w:t>
            </w:r>
          </w:p>
        </w:tc>
        <w:tc>
          <w:tcPr>
            <w:tcW w:w="914" w:type="pct"/>
            <w:tcBorders>
              <w:bottom w:val="nil"/>
            </w:tcBorders>
            <w:shd w:val="clear" w:color="auto" w:fill="auto"/>
          </w:tcPr>
          <w:p w14:paraId="568AAA33"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84.6</w:t>
            </w:r>
          </w:p>
        </w:tc>
      </w:tr>
      <w:tr w:rsidR="00B7002F" w14:paraId="372C334D" w14:textId="77777777" w:rsidTr="00D87B20">
        <w:tc>
          <w:tcPr>
            <w:tcW w:w="3280" w:type="pct"/>
            <w:tcBorders>
              <w:top w:val="nil"/>
              <w:bottom w:val="single" w:sz="8" w:space="0" w:color="auto"/>
            </w:tcBorders>
            <w:shd w:val="clear" w:color="auto" w:fill="auto"/>
          </w:tcPr>
          <w:p w14:paraId="23F5AF95" w14:textId="77777777" w:rsidR="00CC47BC" w:rsidRPr="00607C8A" w:rsidRDefault="005E46C3" w:rsidP="00D87B20">
            <w:pPr>
              <w:autoSpaceDE w:val="0"/>
              <w:autoSpaceDN w:val="0"/>
              <w:adjustRightInd w:val="0"/>
              <w:ind w:left="1171"/>
              <w:rPr>
                <w:rFonts w:ascii="Times New Roman" w:eastAsia="Times New Roman" w:hAnsi="Times New Roman" w:cs="Times New Roman"/>
              </w:rPr>
            </w:pPr>
            <w:r w:rsidRPr="00607C8A">
              <w:rPr>
                <w:rFonts w:ascii="Times New Roman" w:eastAsia="Times New Roman" w:hAnsi="Times New Roman" w:cs="Times New Roman"/>
              </w:rPr>
              <w:t>24 months</w:t>
            </w:r>
          </w:p>
        </w:tc>
        <w:tc>
          <w:tcPr>
            <w:tcW w:w="806" w:type="pct"/>
            <w:tcBorders>
              <w:top w:val="nil"/>
              <w:bottom w:val="single" w:sz="8" w:space="0" w:color="auto"/>
            </w:tcBorders>
            <w:shd w:val="clear" w:color="auto" w:fill="auto"/>
          </w:tcPr>
          <w:p w14:paraId="235DAB3E"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w:t>
            </w:r>
          </w:p>
        </w:tc>
        <w:tc>
          <w:tcPr>
            <w:tcW w:w="914" w:type="pct"/>
            <w:tcBorders>
              <w:top w:val="nil"/>
              <w:bottom w:val="single" w:sz="8" w:space="0" w:color="auto"/>
            </w:tcBorders>
            <w:shd w:val="clear" w:color="auto" w:fill="auto"/>
          </w:tcPr>
          <w:p w14:paraId="5B7F2145"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7.7</w:t>
            </w:r>
          </w:p>
        </w:tc>
      </w:tr>
      <w:tr w:rsidR="00B7002F" w14:paraId="401AB3AC" w14:textId="77777777" w:rsidTr="00D87B20">
        <w:tc>
          <w:tcPr>
            <w:tcW w:w="3280" w:type="pct"/>
            <w:tcBorders>
              <w:top w:val="single" w:sz="8" w:space="0" w:color="auto"/>
              <w:bottom w:val="nil"/>
            </w:tcBorders>
            <w:shd w:val="clear" w:color="auto" w:fill="auto"/>
          </w:tcPr>
          <w:p w14:paraId="35B8E5A5" w14:textId="77777777" w:rsidR="00CC47BC" w:rsidRPr="00607C8A" w:rsidRDefault="005E46C3" w:rsidP="00D87B20">
            <w:pPr>
              <w:rPr>
                <w:rFonts w:ascii="Times New Roman" w:eastAsia="Times New Roman" w:hAnsi="Times New Roman" w:cs="Times New Roman"/>
                <w:b/>
                <w:bCs/>
                <w:i/>
                <w:iCs/>
              </w:rPr>
            </w:pPr>
            <w:r w:rsidRPr="00607C8A">
              <w:rPr>
                <w:rFonts w:ascii="Times New Roman" w:eastAsia="Times New Roman" w:hAnsi="Times New Roman" w:cs="Times New Roman"/>
                <w:b/>
                <w:bCs/>
                <w:i/>
                <w:iCs/>
              </w:rPr>
              <w:t>Response after 6 weeks:</w:t>
            </w:r>
          </w:p>
        </w:tc>
        <w:tc>
          <w:tcPr>
            <w:tcW w:w="806" w:type="pct"/>
            <w:tcBorders>
              <w:top w:val="single" w:sz="8" w:space="0" w:color="auto"/>
              <w:bottom w:val="nil"/>
            </w:tcBorders>
            <w:shd w:val="clear" w:color="auto" w:fill="auto"/>
          </w:tcPr>
          <w:p w14:paraId="114EA829" w14:textId="77777777" w:rsidR="00CC47BC" w:rsidRPr="00607C8A" w:rsidRDefault="00CC47BC" w:rsidP="00D87B20">
            <w:pPr>
              <w:jc w:val="center"/>
              <w:rPr>
                <w:rFonts w:ascii="Times New Roman" w:eastAsia="Times New Roman" w:hAnsi="Times New Roman" w:cs="Times New Roman"/>
              </w:rPr>
            </w:pPr>
          </w:p>
        </w:tc>
        <w:tc>
          <w:tcPr>
            <w:tcW w:w="914" w:type="pct"/>
            <w:tcBorders>
              <w:top w:val="single" w:sz="8" w:space="0" w:color="auto"/>
              <w:bottom w:val="nil"/>
            </w:tcBorders>
            <w:shd w:val="clear" w:color="auto" w:fill="auto"/>
          </w:tcPr>
          <w:p w14:paraId="1195EFBC" w14:textId="77777777" w:rsidR="00CC47BC" w:rsidRPr="00607C8A" w:rsidRDefault="00CC47BC" w:rsidP="00D87B20">
            <w:pPr>
              <w:jc w:val="center"/>
              <w:rPr>
                <w:rFonts w:ascii="Times New Roman" w:eastAsia="Times New Roman" w:hAnsi="Times New Roman" w:cs="Times New Roman"/>
              </w:rPr>
            </w:pPr>
          </w:p>
        </w:tc>
      </w:tr>
      <w:tr w:rsidR="00B7002F" w14:paraId="4F5804C6" w14:textId="77777777" w:rsidTr="00D87B20">
        <w:tc>
          <w:tcPr>
            <w:tcW w:w="3280" w:type="pct"/>
            <w:tcBorders>
              <w:bottom w:val="nil"/>
            </w:tcBorders>
            <w:shd w:val="clear" w:color="auto" w:fill="auto"/>
          </w:tcPr>
          <w:p w14:paraId="5B6BA60C"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Active disease better</w:t>
            </w:r>
          </w:p>
        </w:tc>
        <w:tc>
          <w:tcPr>
            <w:tcW w:w="806" w:type="pct"/>
            <w:tcBorders>
              <w:bottom w:val="nil"/>
            </w:tcBorders>
            <w:shd w:val="clear" w:color="auto" w:fill="auto"/>
            <w:vAlign w:val="center"/>
          </w:tcPr>
          <w:p w14:paraId="4BCE0F06"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15</w:t>
            </w:r>
          </w:p>
        </w:tc>
        <w:tc>
          <w:tcPr>
            <w:tcW w:w="914" w:type="pct"/>
            <w:tcBorders>
              <w:bottom w:val="nil"/>
            </w:tcBorders>
            <w:shd w:val="clear" w:color="auto" w:fill="auto"/>
            <w:vAlign w:val="center"/>
          </w:tcPr>
          <w:p w14:paraId="3B232BE7"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45.5</w:t>
            </w:r>
          </w:p>
        </w:tc>
      </w:tr>
      <w:tr w:rsidR="00B7002F" w14:paraId="0ADFE865" w14:textId="77777777" w:rsidTr="00D87B20">
        <w:tc>
          <w:tcPr>
            <w:tcW w:w="3280" w:type="pct"/>
            <w:tcBorders>
              <w:bottom w:val="nil"/>
            </w:tcBorders>
            <w:shd w:val="clear" w:color="auto" w:fill="auto"/>
            <w:vAlign w:val="center"/>
          </w:tcPr>
          <w:p w14:paraId="7EBC012F"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Active disease intermediate</w:t>
            </w:r>
          </w:p>
        </w:tc>
        <w:tc>
          <w:tcPr>
            <w:tcW w:w="806" w:type="pct"/>
            <w:tcBorders>
              <w:bottom w:val="nil"/>
            </w:tcBorders>
            <w:shd w:val="clear" w:color="auto" w:fill="auto"/>
            <w:vAlign w:val="center"/>
          </w:tcPr>
          <w:p w14:paraId="0D865F70"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10</w:t>
            </w:r>
          </w:p>
        </w:tc>
        <w:tc>
          <w:tcPr>
            <w:tcW w:w="914" w:type="pct"/>
            <w:tcBorders>
              <w:bottom w:val="nil"/>
            </w:tcBorders>
            <w:shd w:val="clear" w:color="auto" w:fill="auto"/>
            <w:vAlign w:val="center"/>
          </w:tcPr>
          <w:p w14:paraId="77080CCC"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30.3</w:t>
            </w:r>
          </w:p>
        </w:tc>
      </w:tr>
      <w:tr w:rsidR="00B7002F" w14:paraId="006597DD" w14:textId="77777777" w:rsidTr="00D87B20">
        <w:tc>
          <w:tcPr>
            <w:tcW w:w="3280" w:type="pct"/>
            <w:tcBorders>
              <w:bottom w:val="nil"/>
            </w:tcBorders>
            <w:shd w:val="clear" w:color="auto" w:fill="auto"/>
            <w:vAlign w:val="center"/>
          </w:tcPr>
          <w:p w14:paraId="4AE32EF3"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Active disease worse</w:t>
            </w:r>
          </w:p>
        </w:tc>
        <w:tc>
          <w:tcPr>
            <w:tcW w:w="806" w:type="pct"/>
            <w:tcBorders>
              <w:bottom w:val="nil"/>
            </w:tcBorders>
            <w:shd w:val="clear" w:color="auto" w:fill="auto"/>
            <w:vAlign w:val="center"/>
          </w:tcPr>
          <w:p w14:paraId="088D0C54"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bottom w:val="nil"/>
            </w:tcBorders>
            <w:shd w:val="clear" w:color="auto" w:fill="auto"/>
            <w:vAlign w:val="center"/>
          </w:tcPr>
          <w:p w14:paraId="261EA325"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3.0</w:t>
            </w:r>
          </w:p>
        </w:tc>
      </w:tr>
      <w:tr w:rsidR="00B7002F" w14:paraId="3D4021E1" w14:textId="77777777" w:rsidTr="00D87B20">
        <w:tc>
          <w:tcPr>
            <w:tcW w:w="3280" w:type="pct"/>
            <w:tcBorders>
              <w:top w:val="nil"/>
              <w:bottom w:val="single" w:sz="8" w:space="0" w:color="auto"/>
            </w:tcBorders>
            <w:shd w:val="clear" w:color="auto" w:fill="auto"/>
            <w:vAlign w:val="center"/>
          </w:tcPr>
          <w:p w14:paraId="547FAF75"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NA</w:t>
            </w:r>
          </w:p>
        </w:tc>
        <w:tc>
          <w:tcPr>
            <w:tcW w:w="806" w:type="pct"/>
            <w:tcBorders>
              <w:top w:val="nil"/>
              <w:bottom w:val="single" w:sz="8" w:space="0" w:color="auto"/>
            </w:tcBorders>
            <w:shd w:val="clear" w:color="auto" w:fill="auto"/>
            <w:vAlign w:val="center"/>
          </w:tcPr>
          <w:p w14:paraId="417B01DC"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7</w:t>
            </w:r>
          </w:p>
        </w:tc>
        <w:tc>
          <w:tcPr>
            <w:tcW w:w="914" w:type="pct"/>
            <w:tcBorders>
              <w:top w:val="nil"/>
              <w:bottom w:val="single" w:sz="8" w:space="0" w:color="auto"/>
            </w:tcBorders>
            <w:shd w:val="clear" w:color="auto" w:fill="auto"/>
            <w:vAlign w:val="center"/>
          </w:tcPr>
          <w:p w14:paraId="27031B6E"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21.2</w:t>
            </w:r>
          </w:p>
        </w:tc>
      </w:tr>
      <w:tr w:rsidR="00B7002F" w14:paraId="262005BF" w14:textId="77777777" w:rsidTr="00D87B20">
        <w:tc>
          <w:tcPr>
            <w:tcW w:w="3280" w:type="pct"/>
            <w:tcBorders>
              <w:top w:val="single" w:sz="8" w:space="0" w:color="auto"/>
            </w:tcBorders>
            <w:shd w:val="clear" w:color="auto" w:fill="auto"/>
          </w:tcPr>
          <w:p w14:paraId="60608330" w14:textId="77777777" w:rsidR="00CC47BC" w:rsidRPr="00607C8A" w:rsidRDefault="005E46C3" w:rsidP="00D87B20">
            <w:pPr>
              <w:rPr>
                <w:rFonts w:ascii="Times New Roman" w:eastAsia="Times New Roman" w:hAnsi="Times New Roman" w:cs="Times New Roman"/>
              </w:rPr>
            </w:pPr>
            <w:r w:rsidRPr="00607C8A">
              <w:rPr>
                <w:rFonts w:ascii="Times New Roman" w:eastAsia="Times New Roman" w:hAnsi="Times New Roman" w:cs="Times New Roman"/>
                <w:b/>
                <w:bCs/>
                <w:i/>
                <w:iCs/>
              </w:rPr>
              <w:t>Response after 12 weeks:</w:t>
            </w:r>
          </w:p>
        </w:tc>
        <w:tc>
          <w:tcPr>
            <w:tcW w:w="806" w:type="pct"/>
            <w:tcBorders>
              <w:top w:val="single" w:sz="8" w:space="0" w:color="auto"/>
            </w:tcBorders>
            <w:shd w:val="clear" w:color="auto" w:fill="auto"/>
          </w:tcPr>
          <w:p w14:paraId="7195A918"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c>
          <w:tcPr>
            <w:tcW w:w="914" w:type="pct"/>
            <w:tcBorders>
              <w:top w:val="single" w:sz="8" w:space="0" w:color="auto"/>
            </w:tcBorders>
            <w:shd w:val="clear" w:color="auto" w:fill="auto"/>
          </w:tcPr>
          <w:p w14:paraId="1584E3B3"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r>
      <w:tr w:rsidR="00B7002F" w14:paraId="012DB6C2" w14:textId="77777777" w:rsidTr="00D87B20">
        <w:tc>
          <w:tcPr>
            <w:tcW w:w="3280" w:type="pct"/>
            <w:tcBorders>
              <w:bottom w:val="nil"/>
            </w:tcBorders>
            <w:shd w:val="clear" w:color="auto" w:fill="auto"/>
          </w:tcPr>
          <w:p w14:paraId="3589414F"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Active disease better</w:t>
            </w:r>
          </w:p>
        </w:tc>
        <w:tc>
          <w:tcPr>
            <w:tcW w:w="806" w:type="pct"/>
            <w:tcBorders>
              <w:bottom w:val="nil"/>
            </w:tcBorders>
            <w:shd w:val="clear" w:color="auto" w:fill="auto"/>
            <w:vAlign w:val="center"/>
          </w:tcPr>
          <w:p w14:paraId="6D9B5421"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20</w:t>
            </w:r>
          </w:p>
        </w:tc>
        <w:tc>
          <w:tcPr>
            <w:tcW w:w="914" w:type="pct"/>
            <w:tcBorders>
              <w:bottom w:val="nil"/>
            </w:tcBorders>
            <w:shd w:val="clear" w:color="auto" w:fill="auto"/>
            <w:vAlign w:val="center"/>
          </w:tcPr>
          <w:p w14:paraId="7AF76D6C"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60.6</w:t>
            </w:r>
          </w:p>
        </w:tc>
      </w:tr>
      <w:tr w:rsidR="00B7002F" w14:paraId="31179378" w14:textId="77777777" w:rsidTr="00D87B20">
        <w:tc>
          <w:tcPr>
            <w:tcW w:w="3280" w:type="pct"/>
            <w:tcBorders>
              <w:bottom w:val="nil"/>
            </w:tcBorders>
            <w:shd w:val="clear" w:color="auto" w:fill="auto"/>
            <w:vAlign w:val="center"/>
          </w:tcPr>
          <w:p w14:paraId="51C8E0F4"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Active disease intermediate</w:t>
            </w:r>
          </w:p>
        </w:tc>
        <w:tc>
          <w:tcPr>
            <w:tcW w:w="806" w:type="pct"/>
            <w:tcBorders>
              <w:bottom w:val="nil"/>
            </w:tcBorders>
            <w:shd w:val="clear" w:color="auto" w:fill="auto"/>
            <w:vAlign w:val="center"/>
          </w:tcPr>
          <w:p w14:paraId="226ADE7D"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w:t>
            </w:r>
          </w:p>
        </w:tc>
        <w:tc>
          <w:tcPr>
            <w:tcW w:w="914" w:type="pct"/>
            <w:tcBorders>
              <w:bottom w:val="nil"/>
            </w:tcBorders>
            <w:shd w:val="clear" w:color="auto" w:fill="auto"/>
            <w:vAlign w:val="center"/>
          </w:tcPr>
          <w:p w14:paraId="78E62B49"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6.1</w:t>
            </w:r>
          </w:p>
        </w:tc>
      </w:tr>
      <w:tr w:rsidR="00B7002F" w14:paraId="29BA7463" w14:textId="77777777" w:rsidTr="00D87B20">
        <w:tc>
          <w:tcPr>
            <w:tcW w:w="3280" w:type="pct"/>
            <w:tcBorders>
              <w:bottom w:val="nil"/>
            </w:tcBorders>
            <w:shd w:val="clear" w:color="auto" w:fill="auto"/>
            <w:vAlign w:val="center"/>
          </w:tcPr>
          <w:p w14:paraId="7081377C"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Active disease worse</w:t>
            </w:r>
          </w:p>
        </w:tc>
        <w:tc>
          <w:tcPr>
            <w:tcW w:w="806" w:type="pct"/>
            <w:tcBorders>
              <w:bottom w:val="nil"/>
            </w:tcBorders>
            <w:shd w:val="clear" w:color="auto" w:fill="auto"/>
            <w:vAlign w:val="center"/>
          </w:tcPr>
          <w:p w14:paraId="283A8889"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bottom w:val="nil"/>
            </w:tcBorders>
            <w:shd w:val="clear" w:color="auto" w:fill="auto"/>
            <w:vAlign w:val="center"/>
          </w:tcPr>
          <w:p w14:paraId="6894A63E"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3.0</w:t>
            </w:r>
          </w:p>
        </w:tc>
      </w:tr>
      <w:tr w:rsidR="00B7002F" w14:paraId="1AA5CE97" w14:textId="77777777" w:rsidTr="00D87B20">
        <w:tc>
          <w:tcPr>
            <w:tcW w:w="3280" w:type="pct"/>
            <w:tcBorders>
              <w:top w:val="nil"/>
              <w:bottom w:val="single" w:sz="8" w:space="0" w:color="auto"/>
            </w:tcBorders>
            <w:shd w:val="clear" w:color="auto" w:fill="auto"/>
            <w:vAlign w:val="center"/>
          </w:tcPr>
          <w:p w14:paraId="710FC7F6"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NA</w:t>
            </w:r>
          </w:p>
        </w:tc>
        <w:tc>
          <w:tcPr>
            <w:tcW w:w="806" w:type="pct"/>
            <w:tcBorders>
              <w:top w:val="nil"/>
              <w:bottom w:val="single" w:sz="8" w:space="0" w:color="auto"/>
            </w:tcBorders>
            <w:shd w:val="clear" w:color="auto" w:fill="auto"/>
            <w:vAlign w:val="center"/>
          </w:tcPr>
          <w:p w14:paraId="05772BF2"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10</w:t>
            </w:r>
          </w:p>
        </w:tc>
        <w:tc>
          <w:tcPr>
            <w:tcW w:w="914" w:type="pct"/>
            <w:tcBorders>
              <w:top w:val="nil"/>
              <w:bottom w:val="single" w:sz="8" w:space="0" w:color="auto"/>
            </w:tcBorders>
            <w:shd w:val="clear" w:color="auto" w:fill="auto"/>
            <w:vAlign w:val="center"/>
          </w:tcPr>
          <w:p w14:paraId="47DD94E4"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 xml:space="preserve">30.3 </w:t>
            </w:r>
          </w:p>
        </w:tc>
      </w:tr>
      <w:tr w:rsidR="00B7002F" w14:paraId="13EC6575" w14:textId="77777777" w:rsidTr="00D87B20">
        <w:tc>
          <w:tcPr>
            <w:tcW w:w="3280" w:type="pct"/>
            <w:tcBorders>
              <w:top w:val="single" w:sz="8" w:space="0" w:color="auto"/>
            </w:tcBorders>
            <w:shd w:val="clear" w:color="auto" w:fill="auto"/>
          </w:tcPr>
          <w:p w14:paraId="65F32F93" w14:textId="77777777" w:rsidR="00CC47BC" w:rsidRPr="00607C8A" w:rsidRDefault="005E46C3" w:rsidP="00D87B20">
            <w:pPr>
              <w:rPr>
                <w:rFonts w:ascii="Times New Roman" w:eastAsia="Times New Roman" w:hAnsi="Times New Roman" w:cs="Times New Roman"/>
              </w:rPr>
            </w:pPr>
            <w:r w:rsidRPr="00607C8A">
              <w:rPr>
                <w:rFonts w:ascii="Times New Roman" w:eastAsia="Times New Roman" w:hAnsi="Times New Roman" w:cs="Times New Roman"/>
                <w:b/>
                <w:bCs/>
                <w:i/>
                <w:iCs/>
              </w:rPr>
              <w:t>Response at the end of therapy:</w:t>
            </w:r>
          </w:p>
        </w:tc>
        <w:tc>
          <w:tcPr>
            <w:tcW w:w="806" w:type="pct"/>
            <w:tcBorders>
              <w:top w:val="single" w:sz="8" w:space="0" w:color="auto"/>
            </w:tcBorders>
            <w:shd w:val="clear" w:color="auto" w:fill="auto"/>
          </w:tcPr>
          <w:p w14:paraId="3D750780"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c>
          <w:tcPr>
            <w:tcW w:w="914" w:type="pct"/>
            <w:tcBorders>
              <w:top w:val="single" w:sz="8" w:space="0" w:color="auto"/>
            </w:tcBorders>
            <w:shd w:val="clear" w:color="auto" w:fill="auto"/>
          </w:tcPr>
          <w:p w14:paraId="4DAD7EF5"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r>
      <w:tr w:rsidR="00B7002F" w14:paraId="0EBC2A13" w14:textId="77777777" w:rsidTr="00D87B20">
        <w:tc>
          <w:tcPr>
            <w:tcW w:w="3280" w:type="pct"/>
            <w:tcBorders>
              <w:bottom w:val="nil"/>
            </w:tcBorders>
            <w:shd w:val="clear" w:color="auto" w:fill="auto"/>
            <w:vAlign w:val="center"/>
          </w:tcPr>
          <w:p w14:paraId="6EFCF4EB" w14:textId="77777777" w:rsidR="00CC47BC" w:rsidRPr="00607C8A" w:rsidRDefault="005E46C3" w:rsidP="00D87B20">
            <w:pPr>
              <w:autoSpaceDE w:val="0"/>
              <w:autoSpaceDN w:val="0"/>
              <w:adjustRightInd w:val="0"/>
              <w:ind w:left="720"/>
              <w:rPr>
                <w:rFonts w:ascii="Times New Roman" w:eastAsia="Times New Roman" w:hAnsi="Times New Roman" w:cs="Times New Roman"/>
                <w:rtl/>
              </w:rPr>
            </w:pPr>
            <w:r w:rsidRPr="00607C8A">
              <w:rPr>
                <w:rFonts w:ascii="Times New Roman" w:eastAsia="Times New Roman" w:hAnsi="Times New Roman" w:cs="Times New Roman"/>
              </w:rPr>
              <w:t>Complete remission</w:t>
            </w:r>
          </w:p>
        </w:tc>
        <w:tc>
          <w:tcPr>
            <w:tcW w:w="806" w:type="pct"/>
            <w:tcBorders>
              <w:bottom w:val="nil"/>
            </w:tcBorders>
            <w:shd w:val="clear" w:color="auto" w:fill="auto"/>
            <w:vAlign w:val="center"/>
          </w:tcPr>
          <w:p w14:paraId="794CDD25"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25</w:t>
            </w:r>
          </w:p>
        </w:tc>
        <w:tc>
          <w:tcPr>
            <w:tcW w:w="914" w:type="pct"/>
            <w:tcBorders>
              <w:bottom w:val="nil"/>
            </w:tcBorders>
            <w:shd w:val="clear" w:color="auto" w:fill="auto"/>
            <w:vAlign w:val="center"/>
          </w:tcPr>
          <w:p w14:paraId="14CCC55C"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75.8</w:t>
            </w:r>
          </w:p>
        </w:tc>
      </w:tr>
      <w:tr w:rsidR="00B7002F" w14:paraId="4D6F8437" w14:textId="77777777" w:rsidTr="00D87B20">
        <w:tc>
          <w:tcPr>
            <w:tcW w:w="3280" w:type="pct"/>
            <w:tcBorders>
              <w:bottom w:val="nil"/>
            </w:tcBorders>
            <w:shd w:val="clear" w:color="auto" w:fill="auto"/>
            <w:vAlign w:val="center"/>
          </w:tcPr>
          <w:p w14:paraId="63A6D199"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Active disease</w:t>
            </w:r>
          </w:p>
        </w:tc>
        <w:tc>
          <w:tcPr>
            <w:tcW w:w="806" w:type="pct"/>
            <w:tcBorders>
              <w:bottom w:val="nil"/>
            </w:tcBorders>
            <w:shd w:val="clear" w:color="auto" w:fill="auto"/>
            <w:vAlign w:val="center"/>
          </w:tcPr>
          <w:p w14:paraId="11C3CB5A"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5</w:t>
            </w:r>
          </w:p>
        </w:tc>
        <w:tc>
          <w:tcPr>
            <w:tcW w:w="914" w:type="pct"/>
            <w:tcBorders>
              <w:bottom w:val="nil"/>
            </w:tcBorders>
            <w:shd w:val="clear" w:color="auto" w:fill="auto"/>
            <w:vAlign w:val="center"/>
          </w:tcPr>
          <w:p w14:paraId="1F5CFD56"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15.1</w:t>
            </w:r>
          </w:p>
        </w:tc>
      </w:tr>
      <w:tr w:rsidR="00B7002F" w14:paraId="5571160E" w14:textId="77777777" w:rsidTr="00D87B20">
        <w:tc>
          <w:tcPr>
            <w:tcW w:w="3280" w:type="pct"/>
            <w:tcBorders>
              <w:top w:val="nil"/>
              <w:bottom w:val="single" w:sz="8" w:space="0" w:color="auto"/>
            </w:tcBorders>
            <w:shd w:val="clear" w:color="auto" w:fill="auto"/>
            <w:vAlign w:val="center"/>
          </w:tcPr>
          <w:p w14:paraId="4A2FFFC1"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NA</w:t>
            </w:r>
          </w:p>
        </w:tc>
        <w:tc>
          <w:tcPr>
            <w:tcW w:w="806" w:type="pct"/>
            <w:tcBorders>
              <w:top w:val="nil"/>
              <w:bottom w:val="single" w:sz="8" w:space="0" w:color="auto"/>
            </w:tcBorders>
            <w:shd w:val="clear" w:color="auto" w:fill="auto"/>
            <w:vAlign w:val="center"/>
          </w:tcPr>
          <w:p w14:paraId="2E737DC9"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tl/>
              </w:rPr>
            </w:pPr>
            <w:r w:rsidRPr="00607C8A">
              <w:rPr>
                <w:rFonts w:ascii="Times New Roman" w:eastAsia="Times New Roman" w:hAnsi="Times New Roman" w:cs="Times New Roman"/>
              </w:rPr>
              <w:t>3</w:t>
            </w:r>
          </w:p>
        </w:tc>
        <w:tc>
          <w:tcPr>
            <w:tcW w:w="914" w:type="pct"/>
            <w:tcBorders>
              <w:top w:val="nil"/>
              <w:bottom w:val="single" w:sz="8" w:space="0" w:color="auto"/>
            </w:tcBorders>
            <w:shd w:val="clear" w:color="auto" w:fill="auto"/>
            <w:vAlign w:val="center"/>
          </w:tcPr>
          <w:p w14:paraId="1FAD465D"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tl/>
              </w:rPr>
            </w:pPr>
            <w:r w:rsidRPr="00607C8A">
              <w:rPr>
                <w:rFonts w:ascii="Times New Roman" w:eastAsia="Times New Roman" w:hAnsi="Times New Roman" w:cs="Times New Roman"/>
              </w:rPr>
              <w:t>9.1</w:t>
            </w:r>
          </w:p>
        </w:tc>
      </w:tr>
      <w:tr w:rsidR="00B7002F" w14:paraId="19AE12E3" w14:textId="77777777" w:rsidTr="00D87B20">
        <w:tc>
          <w:tcPr>
            <w:tcW w:w="3280" w:type="pct"/>
            <w:tcBorders>
              <w:top w:val="single" w:sz="8" w:space="0" w:color="auto"/>
            </w:tcBorders>
            <w:shd w:val="clear" w:color="auto" w:fill="auto"/>
          </w:tcPr>
          <w:p w14:paraId="6E6800BB" w14:textId="77777777" w:rsidR="00CC47BC" w:rsidRPr="00607C8A" w:rsidRDefault="005E46C3" w:rsidP="00D87B20">
            <w:pPr>
              <w:rPr>
                <w:rFonts w:ascii="Times New Roman" w:eastAsia="Times New Roman" w:hAnsi="Times New Roman" w:cs="Times New Roman"/>
              </w:rPr>
            </w:pPr>
            <w:r w:rsidRPr="00607C8A">
              <w:rPr>
                <w:rFonts w:ascii="Times New Roman" w:eastAsia="Times New Roman" w:hAnsi="Times New Roman" w:cs="Times New Roman"/>
                <w:b/>
                <w:bCs/>
                <w:i/>
                <w:iCs/>
              </w:rPr>
              <w:t>Duration till complete remission:</w:t>
            </w:r>
          </w:p>
        </w:tc>
        <w:tc>
          <w:tcPr>
            <w:tcW w:w="806" w:type="pct"/>
            <w:tcBorders>
              <w:top w:val="single" w:sz="8" w:space="0" w:color="auto"/>
            </w:tcBorders>
            <w:shd w:val="clear" w:color="auto" w:fill="auto"/>
          </w:tcPr>
          <w:p w14:paraId="26F10A7C"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c>
          <w:tcPr>
            <w:tcW w:w="914" w:type="pct"/>
            <w:tcBorders>
              <w:top w:val="single" w:sz="8" w:space="0" w:color="auto"/>
            </w:tcBorders>
            <w:shd w:val="clear" w:color="auto" w:fill="auto"/>
          </w:tcPr>
          <w:p w14:paraId="082BF6F7"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r>
      <w:tr w:rsidR="00B7002F" w14:paraId="0DA1DD88" w14:textId="77777777" w:rsidTr="00D87B20">
        <w:tc>
          <w:tcPr>
            <w:tcW w:w="3280" w:type="pct"/>
            <w:tcBorders>
              <w:bottom w:val="nil"/>
            </w:tcBorders>
            <w:shd w:val="clear" w:color="auto" w:fill="auto"/>
            <w:vAlign w:val="center"/>
          </w:tcPr>
          <w:p w14:paraId="461747EF"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End of therapy</w:t>
            </w:r>
          </w:p>
        </w:tc>
        <w:tc>
          <w:tcPr>
            <w:tcW w:w="806" w:type="pct"/>
            <w:tcBorders>
              <w:bottom w:val="nil"/>
            </w:tcBorders>
            <w:shd w:val="clear" w:color="auto" w:fill="auto"/>
            <w:vAlign w:val="center"/>
          </w:tcPr>
          <w:p w14:paraId="062F81E1"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20</w:t>
            </w:r>
          </w:p>
        </w:tc>
        <w:tc>
          <w:tcPr>
            <w:tcW w:w="914" w:type="pct"/>
            <w:tcBorders>
              <w:bottom w:val="nil"/>
            </w:tcBorders>
            <w:shd w:val="clear" w:color="auto" w:fill="auto"/>
            <w:vAlign w:val="center"/>
          </w:tcPr>
          <w:p w14:paraId="67965759"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60.6</w:t>
            </w:r>
          </w:p>
        </w:tc>
      </w:tr>
      <w:tr w:rsidR="00B7002F" w14:paraId="4D97FF19" w14:textId="77777777" w:rsidTr="00D87B20">
        <w:tc>
          <w:tcPr>
            <w:tcW w:w="3280" w:type="pct"/>
            <w:tcBorders>
              <w:bottom w:val="nil"/>
            </w:tcBorders>
            <w:shd w:val="clear" w:color="auto" w:fill="auto"/>
            <w:vAlign w:val="center"/>
          </w:tcPr>
          <w:p w14:paraId="15BC68F9"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After 12 weeks</w:t>
            </w:r>
          </w:p>
        </w:tc>
        <w:tc>
          <w:tcPr>
            <w:tcW w:w="806" w:type="pct"/>
            <w:tcBorders>
              <w:bottom w:val="nil"/>
            </w:tcBorders>
            <w:shd w:val="clear" w:color="auto" w:fill="auto"/>
            <w:vAlign w:val="center"/>
          </w:tcPr>
          <w:p w14:paraId="7813E5A1"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3</w:t>
            </w:r>
          </w:p>
        </w:tc>
        <w:tc>
          <w:tcPr>
            <w:tcW w:w="914" w:type="pct"/>
            <w:tcBorders>
              <w:bottom w:val="nil"/>
            </w:tcBorders>
            <w:shd w:val="clear" w:color="auto" w:fill="auto"/>
            <w:vAlign w:val="center"/>
          </w:tcPr>
          <w:p w14:paraId="2E5D5524"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9.1</w:t>
            </w:r>
          </w:p>
        </w:tc>
      </w:tr>
      <w:tr w:rsidR="00B7002F" w14:paraId="520D6EEF" w14:textId="77777777" w:rsidTr="00D87B20">
        <w:tc>
          <w:tcPr>
            <w:tcW w:w="3280" w:type="pct"/>
            <w:tcBorders>
              <w:bottom w:val="nil"/>
            </w:tcBorders>
            <w:shd w:val="clear" w:color="auto" w:fill="auto"/>
            <w:vAlign w:val="center"/>
          </w:tcPr>
          <w:p w14:paraId="5B2244B0"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After surgical resection</w:t>
            </w:r>
          </w:p>
        </w:tc>
        <w:tc>
          <w:tcPr>
            <w:tcW w:w="806" w:type="pct"/>
            <w:tcBorders>
              <w:bottom w:val="nil"/>
            </w:tcBorders>
            <w:shd w:val="clear" w:color="auto" w:fill="auto"/>
            <w:vAlign w:val="center"/>
          </w:tcPr>
          <w:p w14:paraId="4CB1EF46"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tl/>
              </w:rPr>
            </w:pPr>
            <w:r w:rsidRPr="00607C8A">
              <w:rPr>
                <w:rFonts w:ascii="Times New Roman" w:eastAsia="Times New Roman" w:hAnsi="Times New Roman" w:cs="Times New Roman"/>
              </w:rPr>
              <w:t>3</w:t>
            </w:r>
          </w:p>
        </w:tc>
        <w:tc>
          <w:tcPr>
            <w:tcW w:w="914" w:type="pct"/>
            <w:tcBorders>
              <w:bottom w:val="nil"/>
            </w:tcBorders>
            <w:shd w:val="clear" w:color="auto" w:fill="auto"/>
            <w:vAlign w:val="center"/>
          </w:tcPr>
          <w:p w14:paraId="61353A60"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9.1</w:t>
            </w:r>
          </w:p>
        </w:tc>
      </w:tr>
      <w:tr w:rsidR="00B7002F" w14:paraId="7466F3C4" w14:textId="77777777" w:rsidTr="00D87B20">
        <w:tc>
          <w:tcPr>
            <w:tcW w:w="3280" w:type="pct"/>
            <w:tcBorders>
              <w:bottom w:val="nil"/>
            </w:tcBorders>
            <w:shd w:val="clear" w:color="auto" w:fill="auto"/>
            <w:vAlign w:val="center"/>
          </w:tcPr>
          <w:p w14:paraId="68659C8A"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Postradiotherapy</w:t>
            </w:r>
          </w:p>
        </w:tc>
        <w:tc>
          <w:tcPr>
            <w:tcW w:w="806" w:type="pct"/>
            <w:tcBorders>
              <w:bottom w:val="nil"/>
            </w:tcBorders>
            <w:shd w:val="clear" w:color="auto" w:fill="auto"/>
            <w:vAlign w:val="center"/>
          </w:tcPr>
          <w:p w14:paraId="1D33528C"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tl/>
              </w:rPr>
            </w:pPr>
            <w:r w:rsidRPr="00607C8A">
              <w:rPr>
                <w:rFonts w:ascii="Times New Roman" w:eastAsia="Times New Roman" w:hAnsi="Times New Roman" w:cs="Times New Roman"/>
              </w:rPr>
              <w:t>1</w:t>
            </w:r>
          </w:p>
        </w:tc>
        <w:tc>
          <w:tcPr>
            <w:tcW w:w="914" w:type="pct"/>
            <w:tcBorders>
              <w:bottom w:val="nil"/>
            </w:tcBorders>
            <w:shd w:val="clear" w:color="auto" w:fill="auto"/>
            <w:vAlign w:val="center"/>
          </w:tcPr>
          <w:p w14:paraId="54F2745D"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3.0</w:t>
            </w:r>
          </w:p>
        </w:tc>
      </w:tr>
      <w:tr w:rsidR="00B7002F" w14:paraId="357CAABB" w14:textId="77777777" w:rsidTr="00D87B20">
        <w:tc>
          <w:tcPr>
            <w:tcW w:w="3280" w:type="pct"/>
            <w:tcBorders>
              <w:top w:val="nil"/>
              <w:bottom w:val="single" w:sz="8" w:space="0" w:color="auto"/>
            </w:tcBorders>
            <w:shd w:val="clear" w:color="auto" w:fill="auto"/>
            <w:vAlign w:val="center"/>
          </w:tcPr>
          <w:p w14:paraId="2CA29A32"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rPr>
              <w:t>NA</w:t>
            </w:r>
          </w:p>
        </w:tc>
        <w:tc>
          <w:tcPr>
            <w:tcW w:w="806" w:type="pct"/>
            <w:tcBorders>
              <w:top w:val="nil"/>
              <w:bottom w:val="single" w:sz="8" w:space="0" w:color="auto"/>
            </w:tcBorders>
            <w:shd w:val="clear" w:color="auto" w:fill="auto"/>
            <w:vAlign w:val="center"/>
          </w:tcPr>
          <w:p w14:paraId="75022A88"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tl/>
              </w:rPr>
            </w:pPr>
            <w:r w:rsidRPr="00607C8A">
              <w:rPr>
                <w:rFonts w:ascii="Times New Roman" w:eastAsia="Times New Roman" w:hAnsi="Times New Roman" w:cs="Times New Roman"/>
              </w:rPr>
              <w:t>6</w:t>
            </w:r>
          </w:p>
        </w:tc>
        <w:tc>
          <w:tcPr>
            <w:tcW w:w="914" w:type="pct"/>
            <w:tcBorders>
              <w:top w:val="nil"/>
              <w:bottom w:val="single" w:sz="8" w:space="0" w:color="auto"/>
            </w:tcBorders>
            <w:shd w:val="clear" w:color="auto" w:fill="auto"/>
            <w:vAlign w:val="center"/>
          </w:tcPr>
          <w:p w14:paraId="6F269059"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tl/>
              </w:rPr>
            </w:pPr>
            <w:r w:rsidRPr="00607C8A">
              <w:rPr>
                <w:rFonts w:ascii="Times New Roman" w:eastAsia="Times New Roman" w:hAnsi="Times New Roman" w:cs="Times New Roman"/>
              </w:rPr>
              <w:t>18.2</w:t>
            </w:r>
          </w:p>
        </w:tc>
      </w:tr>
      <w:tr w:rsidR="00B7002F" w14:paraId="5634D069" w14:textId="77777777" w:rsidTr="00D87B20">
        <w:tc>
          <w:tcPr>
            <w:tcW w:w="3280" w:type="pct"/>
            <w:tcBorders>
              <w:top w:val="single" w:sz="8" w:space="0" w:color="auto"/>
            </w:tcBorders>
            <w:shd w:val="clear" w:color="auto" w:fill="auto"/>
          </w:tcPr>
          <w:p w14:paraId="0AAEA047" w14:textId="77777777" w:rsidR="00CC47BC" w:rsidRPr="00607C8A" w:rsidRDefault="005E46C3" w:rsidP="00D87B20">
            <w:pPr>
              <w:rPr>
                <w:rFonts w:ascii="Times New Roman" w:eastAsia="Times New Roman" w:hAnsi="Times New Roman" w:cs="Times New Roman"/>
              </w:rPr>
            </w:pPr>
            <w:r w:rsidRPr="00607C8A">
              <w:rPr>
                <w:rFonts w:ascii="Times New Roman" w:eastAsia="Times New Roman" w:hAnsi="Times New Roman" w:cs="Times New Roman"/>
                <w:b/>
                <w:bCs/>
                <w:i/>
                <w:iCs/>
              </w:rPr>
              <w:t>Reactivation (n=11):</w:t>
            </w:r>
          </w:p>
        </w:tc>
        <w:tc>
          <w:tcPr>
            <w:tcW w:w="806" w:type="pct"/>
            <w:tcBorders>
              <w:top w:val="single" w:sz="8" w:space="0" w:color="auto"/>
            </w:tcBorders>
            <w:shd w:val="clear" w:color="auto" w:fill="auto"/>
          </w:tcPr>
          <w:p w14:paraId="68477D30"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c>
          <w:tcPr>
            <w:tcW w:w="914" w:type="pct"/>
            <w:tcBorders>
              <w:top w:val="single" w:sz="8" w:space="0" w:color="auto"/>
            </w:tcBorders>
            <w:shd w:val="clear" w:color="auto" w:fill="auto"/>
          </w:tcPr>
          <w:p w14:paraId="199A7986"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r>
      <w:tr w:rsidR="00B7002F" w14:paraId="59F60A2F" w14:textId="77777777" w:rsidTr="00D87B20">
        <w:tc>
          <w:tcPr>
            <w:tcW w:w="3280" w:type="pct"/>
            <w:tcBorders>
              <w:bottom w:val="nil"/>
            </w:tcBorders>
            <w:shd w:val="clear" w:color="auto" w:fill="auto"/>
            <w:vAlign w:val="bottom"/>
          </w:tcPr>
          <w:p w14:paraId="432C37F7" w14:textId="77777777" w:rsidR="00CC47BC" w:rsidRPr="00607C8A" w:rsidRDefault="005E46C3" w:rsidP="00D87B20">
            <w:pPr>
              <w:autoSpaceDE w:val="0"/>
              <w:autoSpaceDN w:val="0"/>
              <w:adjustRightInd w:val="0"/>
              <w:ind w:left="720"/>
              <w:rPr>
                <w:rFonts w:ascii="Times New Roman" w:eastAsia="Times New Roman" w:hAnsi="Times New Roman" w:cs="Times New Roman"/>
                <w:i/>
                <w:iCs/>
                <w:rtl/>
              </w:rPr>
            </w:pPr>
            <w:r w:rsidRPr="00607C8A">
              <w:rPr>
                <w:rFonts w:ascii="Times New Roman" w:eastAsia="Times New Roman" w:hAnsi="Times New Roman" w:cs="Times New Roman"/>
                <w:i/>
                <w:iCs/>
              </w:rPr>
              <w:t>Number of reactivations</w:t>
            </w:r>
          </w:p>
        </w:tc>
        <w:tc>
          <w:tcPr>
            <w:tcW w:w="806" w:type="pct"/>
            <w:tcBorders>
              <w:bottom w:val="nil"/>
            </w:tcBorders>
            <w:shd w:val="clear" w:color="auto" w:fill="auto"/>
            <w:vAlign w:val="center"/>
          </w:tcPr>
          <w:p w14:paraId="126BE72F"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c>
          <w:tcPr>
            <w:tcW w:w="914" w:type="pct"/>
            <w:tcBorders>
              <w:bottom w:val="nil"/>
            </w:tcBorders>
            <w:shd w:val="clear" w:color="auto" w:fill="auto"/>
            <w:vAlign w:val="center"/>
          </w:tcPr>
          <w:p w14:paraId="5090B17E"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r>
      <w:tr w:rsidR="00B7002F" w14:paraId="34FA2CA0" w14:textId="77777777" w:rsidTr="00D87B20">
        <w:tc>
          <w:tcPr>
            <w:tcW w:w="3280" w:type="pct"/>
            <w:tcBorders>
              <w:bottom w:val="nil"/>
            </w:tcBorders>
            <w:shd w:val="clear" w:color="auto" w:fill="auto"/>
            <w:vAlign w:val="bottom"/>
          </w:tcPr>
          <w:p w14:paraId="4EF19DFE" w14:textId="77777777" w:rsidR="00CC47BC" w:rsidRPr="00607C8A" w:rsidRDefault="005E46C3" w:rsidP="00D87B20">
            <w:pPr>
              <w:autoSpaceDE w:val="0"/>
              <w:autoSpaceDN w:val="0"/>
              <w:adjustRightInd w:val="0"/>
              <w:ind w:left="1029"/>
              <w:rPr>
                <w:rFonts w:ascii="Times New Roman" w:eastAsia="Times New Roman" w:hAnsi="Times New Roman" w:cs="Times New Roman"/>
              </w:rPr>
            </w:pPr>
            <w:r w:rsidRPr="00607C8A">
              <w:rPr>
                <w:rFonts w:ascii="Times New Roman" w:eastAsia="Times New Roman" w:hAnsi="Times New Roman" w:cs="Times New Roman"/>
              </w:rPr>
              <w:t>Once</w:t>
            </w:r>
          </w:p>
        </w:tc>
        <w:tc>
          <w:tcPr>
            <w:tcW w:w="806" w:type="pct"/>
            <w:tcBorders>
              <w:bottom w:val="nil"/>
            </w:tcBorders>
            <w:shd w:val="clear" w:color="auto" w:fill="auto"/>
            <w:vAlign w:val="bottom"/>
          </w:tcPr>
          <w:p w14:paraId="2646E8D9"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9</w:t>
            </w:r>
          </w:p>
        </w:tc>
        <w:tc>
          <w:tcPr>
            <w:tcW w:w="914" w:type="pct"/>
            <w:tcBorders>
              <w:bottom w:val="nil"/>
            </w:tcBorders>
            <w:shd w:val="clear" w:color="auto" w:fill="auto"/>
            <w:vAlign w:val="bottom"/>
          </w:tcPr>
          <w:p w14:paraId="095FA2EE"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81.8</w:t>
            </w:r>
          </w:p>
        </w:tc>
      </w:tr>
      <w:tr w:rsidR="00B7002F" w14:paraId="1A4440A9" w14:textId="77777777" w:rsidTr="00D87B20">
        <w:tc>
          <w:tcPr>
            <w:tcW w:w="3280" w:type="pct"/>
            <w:tcBorders>
              <w:bottom w:val="nil"/>
            </w:tcBorders>
            <w:shd w:val="clear" w:color="auto" w:fill="auto"/>
            <w:vAlign w:val="bottom"/>
          </w:tcPr>
          <w:p w14:paraId="7C8EB762" w14:textId="77777777" w:rsidR="00CC47BC" w:rsidRPr="00607C8A" w:rsidRDefault="005E46C3" w:rsidP="00D87B20">
            <w:pPr>
              <w:autoSpaceDE w:val="0"/>
              <w:autoSpaceDN w:val="0"/>
              <w:adjustRightInd w:val="0"/>
              <w:ind w:left="1029"/>
              <w:rPr>
                <w:rFonts w:ascii="Times New Roman" w:eastAsia="Times New Roman" w:hAnsi="Times New Roman" w:cs="Times New Roman"/>
              </w:rPr>
            </w:pPr>
            <w:r w:rsidRPr="00607C8A">
              <w:rPr>
                <w:rFonts w:ascii="Times New Roman" w:eastAsia="Times New Roman" w:hAnsi="Times New Roman" w:cs="Times New Roman"/>
              </w:rPr>
              <w:t>Twice</w:t>
            </w:r>
          </w:p>
        </w:tc>
        <w:tc>
          <w:tcPr>
            <w:tcW w:w="806" w:type="pct"/>
            <w:tcBorders>
              <w:bottom w:val="nil"/>
            </w:tcBorders>
            <w:shd w:val="clear" w:color="auto" w:fill="auto"/>
            <w:vAlign w:val="bottom"/>
          </w:tcPr>
          <w:p w14:paraId="0A1E32D3"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bottom w:val="nil"/>
            </w:tcBorders>
            <w:shd w:val="clear" w:color="auto" w:fill="auto"/>
            <w:vAlign w:val="bottom"/>
          </w:tcPr>
          <w:p w14:paraId="439084D2"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0.9</w:t>
            </w:r>
          </w:p>
        </w:tc>
      </w:tr>
      <w:tr w:rsidR="00B7002F" w14:paraId="130B6CB5" w14:textId="77777777" w:rsidTr="00D87B20">
        <w:tc>
          <w:tcPr>
            <w:tcW w:w="3280" w:type="pct"/>
            <w:tcBorders>
              <w:bottom w:val="nil"/>
            </w:tcBorders>
            <w:shd w:val="clear" w:color="auto" w:fill="auto"/>
            <w:vAlign w:val="bottom"/>
          </w:tcPr>
          <w:p w14:paraId="47715B1A" w14:textId="77777777" w:rsidR="00CC47BC" w:rsidRPr="00607C8A" w:rsidRDefault="005E46C3" w:rsidP="00D87B20">
            <w:pPr>
              <w:autoSpaceDE w:val="0"/>
              <w:autoSpaceDN w:val="0"/>
              <w:adjustRightInd w:val="0"/>
              <w:ind w:left="1029"/>
              <w:rPr>
                <w:rFonts w:ascii="Times New Roman" w:eastAsia="Times New Roman" w:hAnsi="Times New Roman" w:cs="Times New Roman"/>
              </w:rPr>
            </w:pPr>
            <w:r w:rsidRPr="00607C8A">
              <w:rPr>
                <w:rFonts w:ascii="Times New Roman" w:eastAsia="Times New Roman" w:hAnsi="Times New Roman" w:cs="Times New Roman"/>
              </w:rPr>
              <w:t>Thrice</w:t>
            </w:r>
          </w:p>
        </w:tc>
        <w:tc>
          <w:tcPr>
            <w:tcW w:w="806" w:type="pct"/>
            <w:tcBorders>
              <w:bottom w:val="nil"/>
            </w:tcBorders>
            <w:shd w:val="clear" w:color="auto" w:fill="auto"/>
            <w:vAlign w:val="bottom"/>
          </w:tcPr>
          <w:p w14:paraId="62C0C7C4"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1</w:t>
            </w:r>
          </w:p>
        </w:tc>
        <w:tc>
          <w:tcPr>
            <w:tcW w:w="914" w:type="pct"/>
            <w:tcBorders>
              <w:bottom w:val="nil"/>
            </w:tcBorders>
            <w:shd w:val="clear" w:color="auto" w:fill="auto"/>
            <w:vAlign w:val="bottom"/>
          </w:tcPr>
          <w:p w14:paraId="18BC8372"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0.9</w:t>
            </w:r>
          </w:p>
        </w:tc>
      </w:tr>
      <w:tr w:rsidR="00B7002F" w14:paraId="7C222FEF" w14:textId="77777777" w:rsidTr="00D87B20">
        <w:tc>
          <w:tcPr>
            <w:tcW w:w="3280" w:type="pct"/>
            <w:tcBorders>
              <w:bottom w:val="nil"/>
            </w:tcBorders>
            <w:shd w:val="clear" w:color="auto" w:fill="auto"/>
            <w:vAlign w:val="bottom"/>
          </w:tcPr>
          <w:p w14:paraId="38560963" w14:textId="77777777" w:rsidR="00CC47BC" w:rsidRPr="00607C8A" w:rsidRDefault="005E46C3" w:rsidP="00D87B20">
            <w:pPr>
              <w:autoSpaceDE w:val="0"/>
              <w:autoSpaceDN w:val="0"/>
              <w:adjustRightInd w:val="0"/>
              <w:ind w:left="720"/>
              <w:rPr>
                <w:rFonts w:ascii="Times New Roman" w:eastAsia="Times New Roman" w:hAnsi="Times New Roman" w:cs="Times New Roman"/>
              </w:rPr>
            </w:pPr>
            <w:r w:rsidRPr="00607C8A">
              <w:rPr>
                <w:rFonts w:ascii="Times New Roman" w:eastAsia="Times New Roman" w:hAnsi="Times New Roman" w:cs="Times New Roman"/>
                <w:i/>
                <w:iCs/>
              </w:rPr>
              <w:t>Duration from remission to reactivations</w:t>
            </w:r>
          </w:p>
        </w:tc>
        <w:tc>
          <w:tcPr>
            <w:tcW w:w="806" w:type="pct"/>
            <w:tcBorders>
              <w:bottom w:val="nil"/>
            </w:tcBorders>
            <w:shd w:val="clear" w:color="auto" w:fill="auto"/>
            <w:vAlign w:val="bottom"/>
          </w:tcPr>
          <w:p w14:paraId="57B2E631"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tl/>
              </w:rPr>
            </w:pPr>
          </w:p>
        </w:tc>
        <w:tc>
          <w:tcPr>
            <w:tcW w:w="914" w:type="pct"/>
            <w:tcBorders>
              <w:bottom w:val="nil"/>
            </w:tcBorders>
            <w:shd w:val="clear" w:color="auto" w:fill="auto"/>
            <w:vAlign w:val="bottom"/>
          </w:tcPr>
          <w:p w14:paraId="0535CDBB" w14:textId="77777777" w:rsidR="00CC47BC" w:rsidRPr="00607C8A" w:rsidRDefault="00CC47BC" w:rsidP="00D87B20">
            <w:pPr>
              <w:autoSpaceDE w:val="0"/>
              <w:autoSpaceDN w:val="0"/>
              <w:adjustRightInd w:val="0"/>
              <w:ind w:left="60" w:right="60"/>
              <w:jc w:val="center"/>
              <w:rPr>
                <w:rFonts w:ascii="Times New Roman" w:eastAsia="Times New Roman" w:hAnsi="Times New Roman" w:cs="Times New Roman"/>
              </w:rPr>
            </w:pPr>
          </w:p>
        </w:tc>
      </w:tr>
      <w:tr w:rsidR="00B7002F" w14:paraId="27B25C23" w14:textId="77777777" w:rsidTr="00D87B20">
        <w:tc>
          <w:tcPr>
            <w:tcW w:w="3280" w:type="pct"/>
            <w:tcBorders>
              <w:bottom w:val="nil"/>
            </w:tcBorders>
            <w:shd w:val="clear" w:color="auto" w:fill="auto"/>
            <w:vAlign w:val="bottom"/>
          </w:tcPr>
          <w:p w14:paraId="4695DC16" w14:textId="77777777" w:rsidR="00CC47BC" w:rsidRPr="00607C8A" w:rsidRDefault="005E46C3" w:rsidP="00D87B20">
            <w:pPr>
              <w:autoSpaceDE w:val="0"/>
              <w:autoSpaceDN w:val="0"/>
              <w:adjustRightInd w:val="0"/>
              <w:ind w:left="1029"/>
              <w:rPr>
                <w:rFonts w:ascii="Times New Roman" w:eastAsia="Times New Roman" w:hAnsi="Times New Roman" w:cs="Times New Roman"/>
              </w:rPr>
            </w:pPr>
            <w:r w:rsidRPr="00607C8A">
              <w:rPr>
                <w:rFonts w:ascii="Times New Roman" w:eastAsia="Times New Roman" w:hAnsi="Times New Roman" w:cs="Times New Roman"/>
              </w:rPr>
              <w:t>Between 3-6 months</w:t>
            </w:r>
          </w:p>
        </w:tc>
        <w:tc>
          <w:tcPr>
            <w:tcW w:w="806" w:type="pct"/>
            <w:tcBorders>
              <w:bottom w:val="nil"/>
            </w:tcBorders>
            <w:shd w:val="clear" w:color="auto" w:fill="auto"/>
            <w:vAlign w:val="bottom"/>
          </w:tcPr>
          <w:p w14:paraId="7E28FFFF"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6</w:t>
            </w:r>
          </w:p>
        </w:tc>
        <w:tc>
          <w:tcPr>
            <w:tcW w:w="914" w:type="pct"/>
            <w:tcBorders>
              <w:bottom w:val="nil"/>
            </w:tcBorders>
            <w:shd w:val="clear" w:color="auto" w:fill="auto"/>
            <w:vAlign w:val="bottom"/>
          </w:tcPr>
          <w:p w14:paraId="05F1C8D6"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54.5</w:t>
            </w:r>
          </w:p>
        </w:tc>
      </w:tr>
      <w:tr w:rsidR="00B7002F" w14:paraId="6EB13CC9" w14:textId="77777777" w:rsidTr="00D87B20">
        <w:tc>
          <w:tcPr>
            <w:tcW w:w="3280" w:type="pct"/>
            <w:tcBorders>
              <w:top w:val="nil"/>
              <w:bottom w:val="double" w:sz="4" w:space="0" w:color="auto"/>
            </w:tcBorders>
            <w:shd w:val="clear" w:color="auto" w:fill="auto"/>
            <w:vAlign w:val="bottom"/>
          </w:tcPr>
          <w:p w14:paraId="00856C82" w14:textId="77777777" w:rsidR="00CC47BC" w:rsidRPr="00607C8A" w:rsidRDefault="005E46C3" w:rsidP="00D87B20">
            <w:pPr>
              <w:autoSpaceDE w:val="0"/>
              <w:autoSpaceDN w:val="0"/>
              <w:adjustRightInd w:val="0"/>
              <w:ind w:left="1029"/>
              <w:rPr>
                <w:rFonts w:ascii="Times New Roman" w:eastAsia="Times New Roman" w:hAnsi="Times New Roman" w:cs="Times New Roman"/>
              </w:rPr>
            </w:pPr>
            <w:r w:rsidRPr="00607C8A">
              <w:rPr>
                <w:rFonts w:ascii="Times New Roman" w:eastAsia="Times New Roman" w:hAnsi="Times New Roman" w:cs="Times New Roman"/>
              </w:rPr>
              <w:t>&gt;6 months</w:t>
            </w:r>
          </w:p>
        </w:tc>
        <w:tc>
          <w:tcPr>
            <w:tcW w:w="806" w:type="pct"/>
            <w:tcBorders>
              <w:top w:val="nil"/>
              <w:bottom w:val="double" w:sz="4" w:space="0" w:color="auto"/>
            </w:tcBorders>
            <w:shd w:val="clear" w:color="auto" w:fill="auto"/>
            <w:vAlign w:val="bottom"/>
          </w:tcPr>
          <w:p w14:paraId="19A056C6"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5</w:t>
            </w:r>
          </w:p>
        </w:tc>
        <w:tc>
          <w:tcPr>
            <w:tcW w:w="914" w:type="pct"/>
            <w:tcBorders>
              <w:top w:val="nil"/>
              <w:bottom w:val="double" w:sz="4" w:space="0" w:color="auto"/>
            </w:tcBorders>
            <w:shd w:val="clear" w:color="auto" w:fill="auto"/>
            <w:vAlign w:val="bottom"/>
          </w:tcPr>
          <w:p w14:paraId="372DAF77" w14:textId="77777777" w:rsidR="00CC47BC" w:rsidRPr="00607C8A" w:rsidRDefault="005E46C3" w:rsidP="00D87B20">
            <w:pPr>
              <w:autoSpaceDE w:val="0"/>
              <w:autoSpaceDN w:val="0"/>
              <w:adjustRightInd w:val="0"/>
              <w:ind w:left="60" w:right="60"/>
              <w:jc w:val="center"/>
              <w:rPr>
                <w:rFonts w:ascii="Times New Roman" w:eastAsia="Times New Roman" w:hAnsi="Times New Roman" w:cs="Times New Roman"/>
              </w:rPr>
            </w:pPr>
            <w:r w:rsidRPr="00607C8A">
              <w:rPr>
                <w:rFonts w:ascii="Times New Roman" w:eastAsia="Times New Roman" w:hAnsi="Times New Roman" w:cs="Times New Roman"/>
              </w:rPr>
              <w:t>45.5</w:t>
            </w:r>
          </w:p>
        </w:tc>
      </w:tr>
    </w:tbl>
    <w:p w14:paraId="2075D75E" w14:textId="77777777" w:rsidR="00CC47BC" w:rsidRPr="004E16FC" w:rsidRDefault="005E46C3" w:rsidP="00CC47BC">
      <w:pPr>
        <w:spacing w:after="160"/>
        <w:rPr>
          <w:rFonts w:ascii="Times New Roman" w:eastAsia="Times New Roman" w:hAnsi="Times New Roman" w:cs="Times New Roman"/>
          <w:i/>
          <w:iCs/>
          <w:sz w:val="20"/>
          <w:szCs w:val="20"/>
        </w:rPr>
      </w:pPr>
      <w:r w:rsidRPr="004E16FC">
        <w:rPr>
          <w:rFonts w:ascii="Times New Roman" w:eastAsia="Times New Roman" w:hAnsi="Times New Roman" w:cs="Times New Roman"/>
          <w:i/>
          <w:iCs/>
          <w:sz w:val="20"/>
          <w:szCs w:val="20"/>
        </w:rPr>
        <w:t>*VBL: Vinblastine. PDN: Prednisone. LCH III: Langerhans Cell Histiocytosis protocol III</w:t>
      </w:r>
    </w:p>
    <w:p w14:paraId="56BC7458" w14:textId="319CD370" w:rsidR="00CC47BC" w:rsidRDefault="005E46C3" w:rsidP="00CC47BC">
      <w:pPr>
        <w:spacing w:before="100" w:beforeAutospacing="1" w:after="100" w:afterAutospacing="1"/>
        <w:ind w:firstLine="720"/>
        <w:jc w:val="both"/>
        <w:outlineLvl w:val="0"/>
        <w:rPr>
          <w:rFonts w:asciiTheme="majorBidi" w:eastAsia="Times New Roman" w:hAnsiTheme="majorBidi" w:cstheme="majorBidi"/>
        </w:rPr>
      </w:pPr>
      <w:r w:rsidRPr="00D66AF1">
        <w:rPr>
          <w:rFonts w:asciiTheme="majorBidi" w:eastAsia="Times New Roman" w:hAnsiTheme="majorBidi" w:cstheme="majorBidi"/>
          <w:b/>
          <w:bCs/>
        </w:rPr>
        <w:lastRenderedPageBreak/>
        <w:t xml:space="preserve">Table 3 </w:t>
      </w:r>
      <w:r w:rsidRPr="00D66AF1">
        <w:rPr>
          <w:rFonts w:asciiTheme="majorBidi" w:eastAsia="Times New Roman" w:hAnsiTheme="majorBidi" w:cstheme="majorBidi"/>
        </w:rPr>
        <w:t xml:space="preserve">illustrates the treatment modalities provided to the patients, </w:t>
      </w:r>
      <w:r>
        <w:rPr>
          <w:rFonts w:ascii="Times New Roman" w:eastAsia="Times New Roman" w:hAnsi="Times New Roman" w:cs="Times New Roman"/>
        </w:rPr>
        <w:t xml:space="preserve">with </w:t>
      </w:r>
      <w:proofErr w:type="gramStart"/>
      <w:r>
        <w:rPr>
          <w:rFonts w:ascii="Times New Roman" w:eastAsia="Times New Roman" w:hAnsi="Times New Roman" w:cs="Times New Roman"/>
        </w:rPr>
        <w:t xml:space="preserve">the </w:t>
      </w:r>
      <w:r w:rsidRPr="00D66AF1">
        <w:rPr>
          <w:rFonts w:asciiTheme="majorBidi" w:eastAsia="Times New Roman" w:hAnsiTheme="majorBidi" w:cstheme="majorBidi"/>
        </w:rPr>
        <w:t xml:space="preserve">majority </w:t>
      </w:r>
      <w:r>
        <w:rPr>
          <w:rFonts w:ascii="Times New Roman" w:eastAsia="Times New Roman" w:hAnsi="Times New Roman" w:cs="Times New Roman"/>
        </w:rPr>
        <w:t>of</w:t>
      </w:r>
      <w:proofErr w:type="gramEnd"/>
      <w:r>
        <w:rPr>
          <w:rFonts w:ascii="Times New Roman" w:eastAsia="Times New Roman" w:hAnsi="Times New Roman" w:cs="Times New Roman"/>
        </w:rPr>
        <w:t xml:space="preserve"> patients receiv</w:t>
      </w:r>
      <w:r w:rsidRPr="00D66AF1">
        <w:rPr>
          <w:rFonts w:asciiTheme="majorBidi" w:eastAsia="Times New Roman" w:hAnsiTheme="majorBidi" w:cstheme="majorBidi"/>
        </w:rPr>
        <w:t xml:space="preserve">ing chemotherapy (78.8%) with </w:t>
      </w:r>
      <w:r>
        <w:rPr>
          <w:rFonts w:ascii="Times New Roman" w:eastAsia="Times New Roman" w:hAnsi="Times New Roman" w:cs="Times New Roman"/>
        </w:rPr>
        <w:t xml:space="preserve">a six-week initial therapy of Vinblastine and Prednisone (VBL/PDN), according to LCH III protocol arm A </w:t>
      </w:r>
      <w:r w:rsidRPr="00D66AF1">
        <w:rPr>
          <w:rFonts w:asciiTheme="majorBidi" w:eastAsia="Times New Roman" w:hAnsiTheme="majorBidi" w:cstheme="majorBidi"/>
          <w:b/>
          <w:bCs/>
        </w:rPr>
        <w:t>[Appendix]</w:t>
      </w:r>
      <w:r w:rsidRPr="00D66AF1">
        <w:rPr>
          <w:rFonts w:asciiTheme="majorBidi" w:eastAsia="Times New Roman" w:hAnsiTheme="majorBidi" w:cstheme="majorBidi"/>
        </w:rPr>
        <w:t xml:space="preserve"> Only one patient (3%) received LCH III Arm B (with addition of methotrexate 500 mg/m2) protocols. The initial therapy was administered for an average of 12 months for </w:t>
      </w:r>
      <w:proofErr w:type="gramStart"/>
      <w:r w:rsidRPr="00D66AF1">
        <w:rPr>
          <w:rFonts w:asciiTheme="majorBidi" w:eastAsia="Times New Roman" w:hAnsiTheme="majorBidi" w:cstheme="majorBidi"/>
        </w:rPr>
        <w:t>the overwhelming majority of</w:t>
      </w:r>
      <w:proofErr w:type="gramEnd"/>
      <w:r w:rsidRPr="00D66AF1">
        <w:rPr>
          <w:rFonts w:asciiTheme="majorBidi" w:eastAsia="Times New Roman" w:hAnsiTheme="majorBidi" w:cstheme="majorBidi"/>
        </w:rPr>
        <w:t xml:space="preserve"> the patients (84.6%), while only two patients (7.7%) received treatment for a shorter duration (6 months)</w:t>
      </w:r>
      <w:r>
        <w:rPr>
          <w:rFonts w:ascii="Times New Roman" w:eastAsia="Times New Roman" w:hAnsi="Times New Roman" w:cs="Times New Roman"/>
        </w:rPr>
        <w:t xml:space="preserve">, and </w:t>
      </w:r>
      <w:r w:rsidRPr="00D66AF1">
        <w:rPr>
          <w:rFonts w:asciiTheme="majorBidi" w:eastAsia="Times New Roman" w:hAnsiTheme="majorBidi" w:cstheme="majorBidi"/>
        </w:rPr>
        <w:t>the other two received it for a longer duration (24 months). In contrast, six patients (18.2%) underwent surgery, and only one patient (3.0%) received radiotherapy, while only one patient was set under observation. After six weeks of treatment, slightly less than one-half of the patients (45.5%) achieved active disease improvement, while in one-third (30.3%) of the patients</w:t>
      </w:r>
      <w:r>
        <w:rPr>
          <w:rFonts w:ascii="Times New Roman" w:eastAsia="Times New Roman" w:hAnsi="Times New Roman" w:cs="Times New Roman"/>
        </w:rPr>
        <w:t xml:space="preserve">, the active disease was intermediate, and only one patient became worse. Moreover, after 12 weeks, there was an increase in the proportion of patients who achieved disease </w:t>
      </w:r>
      <w:r w:rsidRPr="00D66AF1">
        <w:rPr>
          <w:rFonts w:asciiTheme="majorBidi" w:eastAsia="Times New Roman" w:hAnsiTheme="majorBidi" w:cstheme="majorBidi"/>
        </w:rPr>
        <w:t>improvement (up to 60.6%</w:t>
      </w:r>
      <w:r>
        <w:rPr>
          <w:rFonts w:ascii="Times New Roman" w:eastAsia="Times New Roman" w:hAnsi="Times New Roman" w:cs="Times New Roman"/>
        </w:rPr>
        <w:t xml:space="preserve">). At the end of therapy, </w:t>
      </w:r>
      <w:bookmarkStart w:id="9" w:name="_Toc362178450"/>
      <w:bookmarkStart w:id="10" w:name="_Toc274488020"/>
      <w:bookmarkStart w:id="11" w:name="_Toc300683517"/>
      <w:r w:rsidRPr="00D66AF1">
        <w:rPr>
          <w:rFonts w:asciiTheme="majorBidi" w:eastAsia="Times New Roman" w:hAnsiTheme="majorBidi" w:cstheme="majorBidi"/>
        </w:rPr>
        <w:t xml:space="preserve">complete remission was observed three in of the four treated patients (75.8%). </w:t>
      </w:r>
      <w:proofErr w:type="gramStart"/>
      <w:r w:rsidRPr="00D66AF1">
        <w:rPr>
          <w:rFonts w:asciiTheme="majorBidi" w:eastAsia="Times New Roman" w:hAnsiTheme="majorBidi" w:cstheme="majorBidi"/>
        </w:rPr>
        <w:t>By estimating the duration between starting treatment and complete remission, it</w:t>
      </w:r>
      <w:proofErr w:type="gramEnd"/>
      <w:r w:rsidRPr="00D66AF1">
        <w:rPr>
          <w:rFonts w:asciiTheme="majorBidi" w:eastAsia="Times New Roman" w:hAnsiTheme="majorBidi" w:cstheme="majorBidi"/>
        </w:rPr>
        <w:t xml:space="preserve"> was found that it was achieved after 12 weeks in 9.1% of the patients and at the end of therapy in 60.6% of the patients. Reactivation occurred in 11 patients (33.3%); slightly more than half (54.5%) had reactivation in the first six months after remission, while the rest (45.4%) had reactivation after six months of remission. Most patients (81.8%) had reactivations once, while one patient had two episodes, and another patient had three episodes of reactivation. </w:t>
      </w:r>
    </w:p>
    <w:p w14:paraId="16C829C4" w14:textId="354953EE" w:rsidR="00CC47BC" w:rsidRDefault="00CC47BC" w:rsidP="00CC47BC">
      <w:pPr>
        <w:spacing w:after="160" w:line="259" w:lineRule="auto"/>
        <w:rPr>
          <w:rFonts w:asciiTheme="majorBidi" w:eastAsia="Times New Roman" w:hAnsiTheme="majorBidi" w:cstheme="majorBidi"/>
        </w:rPr>
      </w:pPr>
    </w:p>
    <w:p w14:paraId="17F6F6DC" w14:textId="77777777" w:rsidR="00CC47BC" w:rsidRPr="00607C8A" w:rsidRDefault="005E46C3" w:rsidP="00CC47BC">
      <w:pPr>
        <w:spacing w:before="100" w:beforeAutospacing="1" w:after="100" w:afterAutospacing="1" w:line="360" w:lineRule="auto"/>
        <w:jc w:val="center"/>
        <w:outlineLvl w:val="0"/>
        <w:rPr>
          <w:rFonts w:ascii="Times New Roman" w:eastAsia="Times New Roman" w:hAnsi="Times New Roman" w:cs="Times New Roman"/>
        </w:rPr>
      </w:pPr>
      <w:r w:rsidRPr="00607C8A">
        <w:rPr>
          <w:rFonts w:ascii="Times New Roman" w:eastAsia="Times New Roman" w:hAnsi="Times New Roman" w:cs="Times New Roman"/>
          <w:noProof/>
        </w:rPr>
        <w:drawing>
          <wp:inline distT="0" distB="0" distL="0" distR="0" wp14:anchorId="740F0EFA" wp14:editId="00BE8AEE">
            <wp:extent cx="5105400" cy="2476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69014D" w14:textId="2E9550D3" w:rsidR="00CC47BC" w:rsidRPr="006C10F8" w:rsidRDefault="005E46C3" w:rsidP="006C10F8">
      <w:pPr>
        <w:spacing w:before="100" w:beforeAutospacing="1" w:after="100" w:afterAutospacing="1" w:line="360" w:lineRule="auto"/>
        <w:outlineLvl w:val="0"/>
        <w:rPr>
          <w:rFonts w:ascii="Times New Roman" w:eastAsia="MS Mincho" w:hAnsi="Times New Roman" w:cs="Times New Roman"/>
          <w:b/>
          <w:bCs/>
        </w:rPr>
      </w:pPr>
      <w:r>
        <w:rPr>
          <w:rFonts w:ascii="Times New Roman" w:eastAsia="MS Mincho" w:hAnsi="Times New Roman" w:cs="Times New Roman"/>
          <w:b/>
          <w:bCs/>
        </w:rPr>
        <w:t xml:space="preserve">         </w:t>
      </w:r>
      <w:r w:rsidRPr="006C10F8">
        <w:rPr>
          <w:rFonts w:ascii="Times New Roman" w:eastAsia="MS Mincho" w:hAnsi="Times New Roman" w:cs="Times New Roman"/>
          <w:b/>
          <w:bCs/>
        </w:rPr>
        <w:t xml:space="preserve">Figure </w:t>
      </w:r>
      <w:r w:rsidRPr="006C10F8">
        <w:rPr>
          <w:rFonts w:ascii="Times New Roman" w:eastAsia="MS Mincho" w:hAnsi="Times New Roman" w:cs="Times New Roman"/>
          <w:b/>
          <w:bCs/>
        </w:rPr>
        <w:fldChar w:fldCharType="begin"/>
      </w:r>
      <w:r w:rsidRPr="006C10F8">
        <w:rPr>
          <w:rFonts w:ascii="Times New Roman" w:eastAsia="MS Mincho" w:hAnsi="Times New Roman" w:cs="Times New Roman"/>
          <w:b/>
          <w:bCs/>
        </w:rPr>
        <w:instrText xml:space="preserve"> SEQ Figure \* ARABIC </w:instrText>
      </w:r>
      <w:r w:rsidRPr="006C10F8">
        <w:rPr>
          <w:rFonts w:ascii="Times New Roman" w:eastAsia="MS Mincho" w:hAnsi="Times New Roman" w:cs="Times New Roman"/>
          <w:b/>
          <w:bCs/>
        </w:rPr>
        <w:fldChar w:fldCharType="separate"/>
      </w:r>
      <w:r w:rsidR="00E14269">
        <w:rPr>
          <w:rFonts w:ascii="Times New Roman" w:eastAsia="MS Mincho" w:hAnsi="Times New Roman" w:cs="Times New Roman"/>
          <w:b/>
          <w:bCs/>
          <w:noProof/>
        </w:rPr>
        <w:t>1</w:t>
      </w:r>
      <w:r w:rsidRPr="006C10F8">
        <w:rPr>
          <w:rFonts w:ascii="Times New Roman" w:eastAsia="MS Mincho" w:hAnsi="Times New Roman" w:cs="Times New Roman"/>
          <w:b/>
          <w:bCs/>
        </w:rPr>
        <w:fldChar w:fldCharType="end"/>
      </w:r>
      <w:r w:rsidRPr="006C10F8">
        <w:rPr>
          <w:rFonts w:ascii="Times New Roman" w:eastAsia="MS Mincho" w:hAnsi="Times New Roman" w:cs="Times New Roman"/>
          <w:b/>
          <w:bCs/>
        </w:rPr>
        <w:t>: Classification of the disease (n=33).</w:t>
      </w:r>
    </w:p>
    <w:p w14:paraId="6F63EDB1" w14:textId="01D708DE" w:rsidR="00CC47BC" w:rsidRDefault="005E46C3" w:rsidP="00CC47BC">
      <w:pPr>
        <w:spacing w:before="100" w:beforeAutospacing="1" w:after="100" w:afterAutospacing="1"/>
        <w:ind w:firstLine="720"/>
        <w:jc w:val="both"/>
        <w:outlineLvl w:val="0"/>
        <w:rPr>
          <w:rFonts w:asciiTheme="majorBidi" w:eastAsia="Times New Roman" w:hAnsiTheme="majorBidi" w:cstheme="majorBidi"/>
        </w:rPr>
      </w:pPr>
      <w:r w:rsidRPr="00D66AF1">
        <w:rPr>
          <w:rFonts w:asciiTheme="majorBidi" w:eastAsia="Times New Roman" w:hAnsiTheme="majorBidi" w:cstheme="majorBidi"/>
        </w:rPr>
        <w:t xml:space="preserve">The survival function at </w:t>
      </w:r>
      <w:r>
        <w:rPr>
          <w:rFonts w:ascii="Times New Roman" w:eastAsia="Times New Roman" w:hAnsi="Times New Roman" w:cs="Times New Roman"/>
        </w:rPr>
        <w:t>the last follow</w:t>
      </w:r>
      <w:r w:rsidRPr="00D66AF1">
        <w:rPr>
          <w:rFonts w:asciiTheme="majorBidi" w:eastAsia="Times New Roman" w:hAnsiTheme="majorBidi" w:cstheme="majorBidi"/>
        </w:rPr>
        <w:t xml:space="preserve">-up of the patients showed that the overwhelming majority (84.8%) were alive in complete recession, while only three patients (9.1%) were alive with </w:t>
      </w:r>
      <w:r>
        <w:rPr>
          <w:rFonts w:ascii="Times New Roman" w:eastAsia="Times New Roman" w:hAnsi="Times New Roman" w:cs="Times New Roman"/>
        </w:rPr>
        <w:t xml:space="preserve">the disease and two patients (6.1%) died </w:t>
      </w:r>
      <w:r w:rsidRPr="00D66AF1">
        <w:rPr>
          <w:rFonts w:asciiTheme="majorBidi" w:eastAsia="Times New Roman" w:hAnsiTheme="majorBidi" w:cstheme="majorBidi"/>
          <w:b/>
          <w:bCs/>
        </w:rPr>
        <w:t>[Figure 1]</w:t>
      </w:r>
      <w:r>
        <w:rPr>
          <w:rFonts w:asciiTheme="majorBidi" w:eastAsia="Times New Roman" w:hAnsiTheme="majorBidi" w:cstheme="majorBidi"/>
        </w:rPr>
        <w:t>.</w:t>
      </w:r>
      <w:r w:rsidRPr="00D66AF1">
        <w:rPr>
          <w:rFonts w:asciiTheme="majorBidi" w:eastAsia="Times New Roman" w:hAnsiTheme="majorBidi" w:cstheme="majorBidi"/>
        </w:rPr>
        <w:t xml:space="preserve"> </w:t>
      </w:r>
    </w:p>
    <w:p w14:paraId="67A28FEA" w14:textId="77777777" w:rsidR="00CC47BC" w:rsidRDefault="00CC47BC" w:rsidP="00CC47BC">
      <w:pPr>
        <w:spacing w:before="100" w:beforeAutospacing="1" w:after="100" w:afterAutospacing="1"/>
        <w:ind w:firstLine="720"/>
        <w:jc w:val="both"/>
        <w:outlineLvl w:val="0"/>
        <w:rPr>
          <w:rFonts w:asciiTheme="majorBidi" w:eastAsia="Times New Roman" w:hAnsiTheme="majorBidi" w:cstheme="majorBidi"/>
        </w:rPr>
      </w:pPr>
    </w:p>
    <w:p w14:paraId="62780482" w14:textId="77777777" w:rsidR="00CC47BC" w:rsidRDefault="005E46C3" w:rsidP="00CC47BC">
      <w:pPr>
        <w:spacing w:after="160" w:line="259" w:lineRule="auto"/>
        <w:rPr>
          <w:rFonts w:asciiTheme="majorBidi" w:eastAsia="Times New Roman" w:hAnsiTheme="majorBidi" w:cstheme="majorBidi"/>
        </w:rPr>
      </w:pPr>
      <w:r>
        <w:rPr>
          <w:rFonts w:asciiTheme="majorBidi" w:eastAsia="Times New Roman" w:hAnsiTheme="majorBidi" w:cstheme="majorBidi"/>
        </w:rPr>
        <w:br w:type="page"/>
      </w:r>
    </w:p>
    <w:p w14:paraId="3151DCC6" w14:textId="77777777" w:rsidR="00CC47BC" w:rsidRDefault="00CC47BC" w:rsidP="00CC47BC">
      <w:pPr>
        <w:spacing w:before="100" w:beforeAutospacing="1" w:after="100" w:afterAutospacing="1"/>
        <w:ind w:firstLine="720"/>
        <w:jc w:val="both"/>
        <w:outlineLvl w:val="0"/>
        <w:rPr>
          <w:rFonts w:asciiTheme="majorBidi" w:eastAsia="Times New Roman" w:hAnsiTheme="majorBidi" w:cstheme="majorBidi"/>
        </w:rPr>
      </w:pPr>
    </w:p>
    <w:p w14:paraId="2C8F60D6" w14:textId="77777777" w:rsidR="00CC47BC" w:rsidRPr="00607C8A" w:rsidRDefault="005E46C3" w:rsidP="00CC47BC">
      <w:pPr>
        <w:spacing w:before="100" w:beforeAutospacing="1" w:after="100" w:afterAutospacing="1" w:line="360" w:lineRule="auto"/>
        <w:jc w:val="center"/>
        <w:outlineLvl w:val="0"/>
        <w:rPr>
          <w:rFonts w:ascii="Times New Roman" w:eastAsia="Times New Roman" w:hAnsi="Times New Roman" w:cs="Times New Roman"/>
        </w:rPr>
      </w:pPr>
      <w:r w:rsidRPr="00607C8A">
        <w:rPr>
          <w:rFonts w:ascii="Times New Roman" w:eastAsia="Times New Roman" w:hAnsi="Times New Roman" w:cs="Times New Roman"/>
          <w:noProof/>
        </w:rPr>
        <w:drawing>
          <wp:inline distT="0" distB="0" distL="0" distR="0" wp14:anchorId="28E4748D" wp14:editId="5F57FF84">
            <wp:extent cx="4924425" cy="24098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82C178" w14:textId="26BAAA44" w:rsidR="00CC47BC" w:rsidRPr="00607C8A" w:rsidRDefault="005E46C3" w:rsidP="00CC47BC">
      <w:pPr>
        <w:spacing w:before="100" w:beforeAutospacing="1" w:after="100" w:afterAutospacing="1" w:line="360" w:lineRule="auto"/>
        <w:jc w:val="center"/>
        <w:outlineLvl w:val="0"/>
        <w:rPr>
          <w:rFonts w:ascii="Times New Roman" w:eastAsia="Times New Roman" w:hAnsi="Times New Roman" w:cs="Times New Roman"/>
        </w:rPr>
      </w:pPr>
      <w:r w:rsidRPr="00607C8A">
        <w:rPr>
          <w:rFonts w:ascii="Times New Roman" w:eastAsia="MS Mincho" w:hAnsi="Times New Roman" w:cs="Times New Roman"/>
          <w:b/>
          <w:bCs/>
        </w:rPr>
        <w:t xml:space="preserve">Figure </w:t>
      </w:r>
      <w:r w:rsidRPr="00607C8A">
        <w:rPr>
          <w:rFonts w:ascii="Times New Roman" w:eastAsia="MS Mincho" w:hAnsi="Times New Roman" w:cs="Times New Roman"/>
          <w:b/>
          <w:bCs/>
        </w:rPr>
        <w:fldChar w:fldCharType="begin"/>
      </w:r>
      <w:r w:rsidRPr="00607C8A">
        <w:rPr>
          <w:rFonts w:ascii="Times New Roman" w:eastAsia="MS Mincho" w:hAnsi="Times New Roman" w:cs="Times New Roman"/>
          <w:b/>
          <w:bCs/>
        </w:rPr>
        <w:instrText xml:space="preserve"> SEQ Figure \* ARABIC </w:instrText>
      </w:r>
      <w:r w:rsidRPr="00607C8A">
        <w:rPr>
          <w:rFonts w:ascii="Times New Roman" w:eastAsia="MS Mincho" w:hAnsi="Times New Roman" w:cs="Times New Roman"/>
          <w:b/>
          <w:bCs/>
        </w:rPr>
        <w:fldChar w:fldCharType="separate"/>
      </w:r>
      <w:r w:rsidR="00E14269">
        <w:rPr>
          <w:rFonts w:ascii="Times New Roman" w:eastAsia="MS Mincho" w:hAnsi="Times New Roman" w:cs="Times New Roman"/>
          <w:b/>
          <w:bCs/>
          <w:noProof/>
        </w:rPr>
        <w:t>2</w:t>
      </w:r>
      <w:r w:rsidRPr="00607C8A">
        <w:rPr>
          <w:rFonts w:ascii="Times New Roman" w:eastAsia="MS Mincho" w:hAnsi="Times New Roman" w:cs="Times New Roman"/>
          <w:b/>
          <w:bCs/>
        </w:rPr>
        <w:fldChar w:fldCharType="end"/>
      </w:r>
      <w:r w:rsidRPr="00607C8A">
        <w:rPr>
          <w:rFonts w:ascii="Times New Roman" w:eastAsia="MS Mincho" w:hAnsi="Times New Roman" w:cs="Times New Roman"/>
          <w:b/>
          <w:bCs/>
        </w:rPr>
        <w:t>:</w:t>
      </w:r>
      <w:r w:rsidRPr="00607C8A">
        <w:rPr>
          <w:rFonts w:ascii="Times New Roman" w:eastAsia="MS Mincho" w:hAnsi="Times New Roman" w:cs="Times New Roman"/>
        </w:rPr>
        <w:t xml:space="preserve"> </w:t>
      </w:r>
      <w:r w:rsidRPr="00607C8A">
        <w:rPr>
          <w:rFonts w:ascii="Times New Roman" w:eastAsia="MS Mincho" w:hAnsi="Times New Roman" w:cs="Times New Roman"/>
          <w:i/>
          <w:iCs/>
        </w:rPr>
        <w:t>Fate of the patient at last follow up.</w:t>
      </w:r>
    </w:p>
    <w:p w14:paraId="1A44D643" w14:textId="4CF726DD" w:rsidR="00CC47BC" w:rsidRDefault="005E46C3" w:rsidP="00CC47BC">
      <w:pPr>
        <w:spacing w:before="100" w:beforeAutospacing="1" w:after="100" w:afterAutospacing="1"/>
        <w:ind w:firstLine="720"/>
        <w:jc w:val="both"/>
        <w:outlineLvl w:val="0"/>
        <w:rPr>
          <w:rFonts w:asciiTheme="majorBidi" w:eastAsia="Times New Roman" w:hAnsiTheme="majorBidi" w:cstheme="majorBidi"/>
        </w:rPr>
      </w:pPr>
      <w:r>
        <w:rPr>
          <w:rFonts w:asciiTheme="majorBidi" w:eastAsia="Times New Roman" w:hAnsiTheme="majorBidi" w:cstheme="majorBidi"/>
        </w:rPr>
        <w:t>T</w:t>
      </w:r>
      <w:r w:rsidRPr="00D66AF1">
        <w:rPr>
          <w:rFonts w:asciiTheme="majorBidi" w:eastAsia="Times New Roman" w:hAnsiTheme="majorBidi" w:cstheme="majorBidi"/>
        </w:rPr>
        <w:t xml:space="preserve">he Kaplan-Meier survival analysis showed that there was no statistically significant difference in </w:t>
      </w:r>
      <w:r>
        <w:rPr>
          <w:rFonts w:ascii="Times New Roman" w:eastAsia="Times New Roman" w:hAnsi="Times New Roman" w:cs="Times New Roman"/>
        </w:rPr>
        <w:t xml:space="preserve">the survival of the patients according to </w:t>
      </w:r>
      <w:r w:rsidRPr="00D66AF1">
        <w:rPr>
          <w:rFonts w:asciiTheme="majorBidi" w:eastAsia="Times New Roman" w:hAnsiTheme="majorBidi" w:cstheme="majorBidi"/>
        </w:rPr>
        <w:t xml:space="preserve">age at diagnosis </w:t>
      </w:r>
      <w:r>
        <w:rPr>
          <w:rFonts w:ascii="Times New Roman" w:eastAsia="Times New Roman" w:hAnsi="Times New Roman" w:cs="Times New Roman"/>
        </w:rPr>
        <w:t xml:space="preserve">(p&gt;0.05) </w:t>
      </w:r>
      <w:r w:rsidRPr="00D66AF1">
        <w:rPr>
          <w:rFonts w:asciiTheme="majorBidi" w:eastAsia="Times New Roman" w:hAnsiTheme="majorBidi" w:cstheme="majorBidi"/>
          <w:b/>
          <w:bCs/>
        </w:rPr>
        <w:t>[Figure 2]</w:t>
      </w:r>
      <w:r w:rsidRPr="00D66AF1">
        <w:rPr>
          <w:rFonts w:asciiTheme="majorBidi" w:eastAsia="Times New Roman" w:hAnsiTheme="majorBidi" w:cstheme="majorBidi"/>
        </w:rPr>
        <w:t>.</w:t>
      </w:r>
      <w:r>
        <w:rPr>
          <w:rFonts w:asciiTheme="majorBidi" w:eastAsia="Times New Roman" w:hAnsiTheme="majorBidi" w:cstheme="majorBidi"/>
        </w:rPr>
        <w:t xml:space="preserve"> </w:t>
      </w:r>
    </w:p>
    <w:p w14:paraId="71585222" w14:textId="77777777" w:rsidR="00CC47BC" w:rsidRPr="00607C8A" w:rsidRDefault="005E46C3" w:rsidP="00CC47BC">
      <w:pPr>
        <w:spacing w:line="360" w:lineRule="auto"/>
        <w:rPr>
          <w:rFonts w:ascii="Times New Roman" w:hAnsi="Times New Roman" w:cs="Times New Roman"/>
        </w:rPr>
      </w:pPr>
      <w:r w:rsidRPr="00607C8A">
        <w:rPr>
          <w:rFonts w:ascii="Times New Roman" w:hAnsi="Times New Roman" w:cs="Times New Roman"/>
          <w:noProof/>
        </w:rPr>
        <w:drawing>
          <wp:inline distT="0" distB="0" distL="0" distR="0" wp14:anchorId="4DF25C6E" wp14:editId="65D0D8A7">
            <wp:extent cx="5274310" cy="4226156"/>
            <wp:effectExtent l="0" t="0" r="0" b="3175"/>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74310" cy="4226156"/>
                    </a:xfrm>
                    <a:prstGeom prst="rect">
                      <a:avLst/>
                    </a:prstGeom>
                    <a:noFill/>
                  </pic:spPr>
                </pic:pic>
              </a:graphicData>
            </a:graphic>
          </wp:inline>
        </w:drawing>
      </w:r>
    </w:p>
    <w:p w14:paraId="6453E387" w14:textId="77777777" w:rsidR="00CC47BC" w:rsidRPr="00607C8A" w:rsidRDefault="005E46C3" w:rsidP="00CC47BC">
      <w:pPr>
        <w:spacing w:line="360" w:lineRule="auto"/>
        <w:rPr>
          <w:rFonts w:ascii="Times New Roman" w:hAnsi="Times New Roman" w:cs="Times New Roman"/>
        </w:rPr>
      </w:pPr>
      <w:r w:rsidRPr="00607C8A">
        <w:rPr>
          <w:rFonts w:ascii="Times New Roman" w:hAnsi="Times New Roman" w:cs="Times New Roman"/>
          <w:noProof/>
        </w:rPr>
        <w:lastRenderedPageBreak/>
        <w:drawing>
          <wp:inline distT="0" distB="0" distL="0" distR="0" wp14:anchorId="18145FB4" wp14:editId="60A8387B">
            <wp:extent cx="3964781" cy="3176867"/>
            <wp:effectExtent l="0" t="0" r="0" b="0"/>
            <wp:docPr id="17" name="Picture 1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ox and whiske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993204" cy="3199641"/>
                    </a:xfrm>
                    <a:prstGeom prst="rect">
                      <a:avLst/>
                    </a:prstGeom>
                    <a:noFill/>
                  </pic:spPr>
                </pic:pic>
              </a:graphicData>
            </a:graphic>
          </wp:inline>
        </w:drawing>
      </w:r>
    </w:p>
    <w:p w14:paraId="014C9195" w14:textId="17336D0D" w:rsidR="00CC47BC" w:rsidRPr="006C10F8" w:rsidRDefault="005E46C3" w:rsidP="006C10F8">
      <w:pPr>
        <w:spacing w:after="160" w:line="360" w:lineRule="auto"/>
        <w:rPr>
          <w:rFonts w:ascii="Times New Roman" w:eastAsia="Times New Roman" w:hAnsi="Times New Roman" w:cs="Times New Roman"/>
          <w:b/>
          <w:bCs/>
          <w:color w:val="000000"/>
        </w:rPr>
      </w:pPr>
      <w:r>
        <w:rPr>
          <w:rFonts w:ascii="Times New Roman" w:eastAsia="MS Mincho" w:hAnsi="Times New Roman" w:cs="Times New Roman"/>
          <w:b/>
          <w:bCs/>
        </w:rPr>
        <w:t xml:space="preserve">          </w:t>
      </w:r>
      <w:r w:rsidRPr="006C10F8">
        <w:rPr>
          <w:rFonts w:ascii="Times New Roman" w:eastAsia="MS Mincho" w:hAnsi="Times New Roman" w:cs="Times New Roman"/>
          <w:b/>
          <w:bCs/>
        </w:rPr>
        <w:t>Figure 3: Overall and event free survival of LCH patients.</w:t>
      </w:r>
    </w:p>
    <w:p w14:paraId="62B9AB02" w14:textId="6BD3D2FF" w:rsidR="00CC47BC" w:rsidRPr="00D66AF1" w:rsidRDefault="005E46C3" w:rsidP="00CC47BC">
      <w:pPr>
        <w:spacing w:before="100" w:beforeAutospacing="1" w:after="100" w:afterAutospacing="1"/>
        <w:ind w:firstLine="720"/>
        <w:jc w:val="both"/>
        <w:outlineLvl w:val="0"/>
        <w:rPr>
          <w:rFonts w:asciiTheme="majorBidi" w:eastAsia="Times New Roman" w:hAnsiTheme="majorBidi" w:cstheme="majorBidi"/>
        </w:rPr>
      </w:pPr>
      <w:r w:rsidRPr="00D66AF1">
        <w:rPr>
          <w:rFonts w:asciiTheme="majorBidi" w:eastAsia="Times New Roman" w:hAnsiTheme="majorBidi" w:cstheme="majorBidi"/>
        </w:rPr>
        <w:t xml:space="preserve">The overall survival of all studied patients was 93.9% and was comparable in patients with multisystem </w:t>
      </w:r>
      <w:r>
        <w:rPr>
          <w:rFonts w:ascii="Times New Roman" w:eastAsia="Times New Roman" w:hAnsi="Times New Roman" w:cs="Times New Roman"/>
        </w:rPr>
        <w:t xml:space="preserve">involvement compared to those with single system involvement (85.7% versus 100%, respectively, p=0.168). </w:t>
      </w:r>
      <w:r w:rsidRPr="00D66AF1">
        <w:rPr>
          <w:rFonts w:asciiTheme="majorBidi" w:eastAsia="Times New Roman" w:hAnsiTheme="majorBidi" w:cstheme="majorBidi"/>
        </w:rPr>
        <w:t xml:space="preserve">Meanwhile, there was no statistically significant difference in event-free survival between the two groups (50.0% vs. 79.9%, p=0.114) </w:t>
      </w:r>
      <w:r w:rsidRPr="00D66AF1">
        <w:rPr>
          <w:rFonts w:asciiTheme="majorBidi" w:eastAsia="Times New Roman" w:hAnsiTheme="majorBidi" w:cstheme="majorBidi"/>
          <w:b/>
          <w:bCs/>
        </w:rPr>
        <w:t>[Figure 3]</w:t>
      </w:r>
      <w:r w:rsidRPr="00D66AF1">
        <w:rPr>
          <w:rFonts w:asciiTheme="majorBidi" w:eastAsia="Times New Roman" w:hAnsiTheme="majorBidi" w:cstheme="majorBidi"/>
        </w:rPr>
        <w:t xml:space="preserve">.   </w:t>
      </w:r>
    </w:p>
    <w:bookmarkEnd w:id="9"/>
    <w:bookmarkEnd w:id="10"/>
    <w:bookmarkEnd w:id="11"/>
    <w:p w14:paraId="008D672D" w14:textId="41CA2107" w:rsidR="00CC47BC" w:rsidRPr="00CC47BC" w:rsidRDefault="005E46C3" w:rsidP="00CC47BC">
      <w:pPr>
        <w:pStyle w:val="ListParagraph"/>
        <w:numPr>
          <w:ilvl w:val="0"/>
          <w:numId w:val="1"/>
        </w:numPr>
        <w:spacing w:before="100" w:beforeAutospacing="1" w:after="100" w:afterAutospacing="1" w:line="480" w:lineRule="auto"/>
        <w:ind w:left="284" w:hanging="284"/>
        <w:jc w:val="both"/>
        <w:outlineLvl w:val="0"/>
        <w:rPr>
          <w:rFonts w:asciiTheme="majorBidi" w:eastAsia="Times New Roman" w:hAnsiTheme="majorBidi" w:cstheme="majorBidi"/>
        </w:rPr>
      </w:pPr>
      <w:r w:rsidRPr="00CC47BC">
        <w:rPr>
          <w:rFonts w:asciiTheme="majorBidi" w:hAnsiTheme="majorBidi" w:cstheme="majorBidi"/>
          <w:b/>
          <w:bCs/>
          <w:i/>
          <w:iCs/>
        </w:rPr>
        <w:t xml:space="preserve">Discussion: </w:t>
      </w:r>
    </w:p>
    <w:p w14:paraId="52180D16" w14:textId="332F2831" w:rsidR="00CC47BC" w:rsidRPr="00CC47BC" w:rsidRDefault="005E46C3" w:rsidP="00CC47BC">
      <w:pPr>
        <w:spacing w:after="120"/>
        <w:jc w:val="both"/>
        <w:rPr>
          <w:rFonts w:asciiTheme="majorBidi" w:hAnsiTheme="majorBidi" w:cstheme="majorBidi"/>
        </w:rPr>
      </w:pPr>
      <w:r w:rsidRPr="00CC47BC">
        <w:rPr>
          <w:rFonts w:asciiTheme="majorBidi" w:hAnsiTheme="majorBidi" w:cstheme="majorBidi"/>
        </w:rPr>
        <w:t>LCH has been considered an immune dysregulation disorder</w:t>
      </w:r>
      <w:r>
        <w:rPr>
          <w:rFonts w:ascii="Times New Roman" w:eastAsia="Calibri" w:hAnsi="Times New Roman" w:cs="Times New Roman"/>
        </w:rPr>
        <w:t>;</w:t>
      </w:r>
      <w:r w:rsidRPr="00CC47BC">
        <w:rPr>
          <w:rFonts w:asciiTheme="majorBidi" w:hAnsiTheme="majorBidi" w:cstheme="majorBidi"/>
        </w:rPr>
        <w:t xml:space="preserve"> however</w:t>
      </w:r>
      <w:r>
        <w:rPr>
          <w:rFonts w:ascii="Times New Roman" w:eastAsia="Calibri" w:hAnsi="Times New Roman" w:cs="Times New Roman"/>
        </w:rPr>
        <w:t xml:space="preserve">, with advances in molecular biology and genetics, 50-60% of LCH patients were found to have a proto-oncogene mutation in BRAF-V60E, and almost 100% had </w:t>
      </w:r>
      <w:r w:rsidRPr="00CC47BC">
        <w:rPr>
          <w:rFonts w:asciiTheme="majorBidi" w:hAnsiTheme="majorBidi" w:cstheme="majorBidi"/>
        </w:rPr>
        <w:t xml:space="preserve">cellular signal transduction phosphorylation defects of MEK/ERC. This led to </w:t>
      </w:r>
      <w:r>
        <w:rPr>
          <w:rFonts w:ascii="Times New Roman" w:eastAsia="Calibri" w:hAnsi="Times New Roman" w:cs="Times New Roman"/>
        </w:rPr>
        <w:t>the consideration of LCH as a dendritic cell neoplasm with a strong inflammatory component</w:t>
      </w:r>
      <w:r w:rsidR="00D87B20">
        <w:rPr>
          <w:rFonts w:asciiTheme="majorBidi" w:hAnsiTheme="majorBidi" w:cstheme="majorBidi"/>
        </w:rPr>
        <w:t xml:space="preserve"> </w:t>
      </w:r>
      <w:r w:rsidR="00D87B20">
        <w:rPr>
          <w:rFonts w:asciiTheme="majorBidi" w:hAnsiTheme="majorBidi" w:cstheme="majorBidi"/>
        </w:rPr>
        <w:fldChar w:fldCharType="begin" w:fldLock="1"/>
      </w:r>
      <w:r w:rsidR="00D87B20">
        <w:rPr>
          <w:rFonts w:asciiTheme="majorBidi" w:hAnsiTheme="majorBidi" w:cstheme="majorBidi"/>
        </w:rPr>
        <w:instrText>ADDIN CSL_CITATION {"citationItems":[{"id":"ITEM-1","itemData":{"DOI":"10.1182/asheducation-2015.1.565","ISSN":"15204383","PMID":"26637773","abstract":"Langerhans cell histiocytosis (LCH) is a clonally derived neoplasm with a highly variable clinical course. Although LCH was once considered a disorder of immune regulation, the identification of activating mutations in the proto-oncogene BRAF-V600E in 50%-60% of cases and MEK and ERK phosphorylation in 100% of examined cases, has changed the definition of LCH to a dendritic cell neoplasm with a strong inflammatory component. Current international LCH trials are focused on further improving the outcome of high-risk multisystem LCH patients, by decreasing the reactivation rate, optimizing early salvage regimens, and preventing late sequelae. Anecdotal responses to vemurafenib, a BRAF-V600E inhibitor, have been reported in a few cases of LCH and Erdheim-Chester disease. However, the development of resistance, as well as the potential risks of cutaneous and pancreatic cancers in patients with BRAF-V600E-mutated melanoma treated with single inhibitors, suggest the need for prospective trials with BRAF inhibitors, alone or in combination with other inhibitors of this pathway, for patients with refractory or multiply-relapsed LCH. The recent discovery of somatic mutations in ARAF and in MAP2K1, which lead to activation of the RAS-RAF-MEK-ERK pathway in the setting of wild-type BRAF, as well as the finding that activating mutation in MAP2K1 are relatively insensitive to MEK inhibitors, suggest that a more detailed understanding of this pathway in LCH may be necessary for the development of more effective targeted therapies.","author":[{"dropping-particle":"","family":"Abla","given":"Oussama","non-dropping-particle":"","parse-names":false,"suffix":""},{"dropping-particle":"","family":"Weitzman","given":"Sheila","non-dropping-particle":"","parse-names":false,"suffix":""}],"container-title":"Hematology (United States)","id":"ITEM-1","issued":{"date-parts":[["2015"]]},"page":"565-70","title":"Treatment of Langerhans cell histiocytosis: Role of BRAF/MAPK inhibition","type":"article-journal","volume":"2015"},"uris":["http://www.mendeley.com/documents/?uuid=b79013b1-af63-4389-82db-63f435f10191"]}],"mendeley":{"formattedCitation":"(Abla &amp; Weitzman, 2015)","plainTextFormattedCitation":"(Abla &amp; Weitzman, 2015)","previouslyFormattedCitation":"(Abla &amp; Weitzman, 2015)"},"properties":{"noteIndex":0},"schema":"https://github.com/citation-style-language/schema/raw/master/csl-citation.json"}</w:instrText>
      </w:r>
      <w:r w:rsidR="00D87B20">
        <w:rPr>
          <w:rFonts w:asciiTheme="majorBidi" w:hAnsiTheme="majorBidi" w:cstheme="majorBidi"/>
        </w:rPr>
        <w:fldChar w:fldCharType="separate"/>
      </w:r>
      <w:r w:rsidR="00D87B20" w:rsidRPr="00D87B20">
        <w:rPr>
          <w:rFonts w:asciiTheme="majorBidi" w:hAnsiTheme="majorBidi" w:cstheme="majorBidi"/>
          <w:noProof/>
        </w:rPr>
        <w:t>(Abla &amp; Weitzman, 2015)</w:t>
      </w:r>
      <w:r w:rsidR="00D87B20">
        <w:rPr>
          <w:rFonts w:asciiTheme="majorBidi" w:hAnsiTheme="majorBidi" w:cstheme="majorBidi"/>
        </w:rPr>
        <w:fldChar w:fldCharType="end"/>
      </w:r>
      <w:r w:rsidRPr="00CC47BC">
        <w:rPr>
          <w:rFonts w:asciiTheme="majorBidi" w:hAnsiTheme="majorBidi" w:cstheme="majorBidi"/>
        </w:rPr>
        <w:t xml:space="preserve">. The course of </w:t>
      </w:r>
      <w:r>
        <w:rPr>
          <w:rFonts w:ascii="Times New Roman" w:eastAsia="Calibri" w:hAnsi="Times New Roman" w:cs="Times New Roman"/>
        </w:rPr>
        <w:t xml:space="preserve">the disease is unpredictable, varying from self-limited disease to rapid progression and death or frequent recurrence and reactivation, with the risk of </w:t>
      </w:r>
      <w:r w:rsidRPr="00CC47BC">
        <w:rPr>
          <w:rFonts w:asciiTheme="majorBidi" w:hAnsiTheme="majorBidi" w:cstheme="majorBidi"/>
        </w:rPr>
        <w:t>permanent, predictable</w:t>
      </w:r>
      <w:r>
        <w:rPr>
          <w:rFonts w:ascii="Times New Roman" w:eastAsia="Calibri" w:hAnsi="Times New Roman" w:cs="Times New Roman"/>
        </w:rPr>
        <w:t xml:space="preserve">, and often </w:t>
      </w:r>
      <w:r w:rsidRPr="00CC47BC">
        <w:rPr>
          <w:rFonts w:asciiTheme="majorBidi" w:hAnsiTheme="majorBidi" w:cstheme="majorBidi"/>
        </w:rPr>
        <w:t>irreversible sequelae</w:t>
      </w:r>
      <w:r w:rsidR="00D87B20">
        <w:rPr>
          <w:rFonts w:asciiTheme="majorBidi" w:hAnsiTheme="majorBidi" w:cstheme="majorBidi"/>
        </w:rPr>
        <w:t xml:space="preserve"> </w:t>
      </w:r>
      <w:r w:rsidR="00D87B20">
        <w:rPr>
          <w:rFonts w:asciiTheme="majorBidi" w:hAnsiTheme="majorBidi" w:cstheme="majorBidi"/>
        </w:rPr>
        <w:fldChar w:fldCharType="begin" w:fldLock="1"/>
      </w:r>
      <w:r w:rsidR="00D87B20">
        <w:rPr>
          <w:rFonts w:asciiTheme="majorBidi" w:hAnsiTheme="majorBidi" w:cstheme="majorBidi"/>
        </w:rPr>
        <w:instrText>ADDIN CSL_CITATION {"citationItems":[{"id":"ITEM-1","itemData":{"DOI":"10.1136/adc.75.1.17","ISSN":"14682044","abstract":"In a retrospective study involving 32 haematology/oncology departments in France, 348 cases of Langerhans' cell histiocytosis diagnosed between 1983 and 1993 were collated. The percentage of males was 56.4%. Median age at diagnosis was 30.2 months. The median follow up was 35.5 months. Initially, 108 patients (31%) had isolated unifocal or bifocal bone involvement, 67 (19%) had isolated multifocal bone involvement, 136 (39%) had soft tissue involvement without organ dysfunction, and 37 (11%) had organ dysfunction. Two thirds of the sites of involvement diagnosed throughout the course of the disease were present at diagnosis, while the remaining one third appeared during a relapse. Treatment was tailored to the individual patient and was extremely varied, hampering any comparison of regimens. Vinblastine with or without steroids was the most common regimen when systemic chemotherapy was used for the first episode (246/348). Twenty four of the 216 patients received VP 16 as first line treatment. Two patients with progressive multiorgan relapse, despite the use of several drugs, underwent bone marrow transplantation and are alive and disease free 60 and 22 months later. Altogether 21.9% of patients had sequelae, including diabetes insipidus in 17.5% of cases. The overall survival rate is 91.7% (confidence interval 90.7 to 95%) three years after diagnosis. In the univariate analysis, age less than 1 year, ear, nose, and throat, cutaneous, lymph node, liver, spleen, lung, marrow and intestinal involvement, male sex, progressive episodes, the absence of response, and partial responses, were associated with a poor vital prognosis. In a multivariate analysis of prognostic factors, poor early outcome emerged as the most important parameter, closely linked to other poor outcome features such as young age and organ dysfunction. It identified a small number of patients with a poor initial response to treatment, for whom intensive treatment should be assessed in a phase]a trial.","author":[{"dropping-particle":"","family":"Donadieu","given":"Jean","non-dropping-particle":"","parse-names":false,"suffix":""}],"container-title":"Archives of Disease in Childhood","id":"ITEM-1","issue":"1","issued":{"date-parts":[["1996"]]},"page":"17-24","title":"A multicentre retrospective survey of Langerhans' cell histiocytosis: 348 cases observed between 1983 and 1993","type":"article-journal","volume":"75"},"uris":["http://www.mendeley.com/documents/?uuid=8eb415a3-38a5-4c7e-ad17-2c61bfc87006"]}],"mendeley":{"formattedCitation":"(Donadieu, 1996)","plainTextFormattedCitation":"(Donadieu, 1996)","previouslyFormattedCitation":"(Donadieu, 1996)"},"properties":{"noteIndex":0},"schema":"https://github.com/citation-style-language/schema/raw/master/csl-citation.json"}</w:instrText>
      </w:r>
      <w:r w:rsidR="00D87B20">
        <w:rPr>
          <w:rFonts w:asciiTheme="majorBidi" w:hAnsiTheme="majorBidi" w:cstheme="majorBidi"/>
        </w:rPr>
        <w:fldChar w:fldCharType="separate"/>
      </w:r>
      <w:r w:rsidR="00D87B20" w:rsidRPr="00D87B20">
        <w:rPr>
          <w:rFonts w:asciiTheme="majorBidi" w:hAnsiTheme="majorBidi" w:cstheme="majorBidi"/>
          <w:noProof/>
        </w:rPr>
        <w:t>(Donadieu, 1996)</w:t>
      </w:r>
      <w:r w:rsidR="00D87B20">
        <w:rPr>
          <w:rFonts w:asciiTheme="majorBidi" w:hAnsiTheme="majorBidi" w:cstheme="majorBidi"/>
        </w:rPr>
        <w:fldChar w:fldCharType="end"/>
      </w:r>
      <w:r w:rsidR="00D87B20">
        <w:rPr>
          <w:rFonts w:asciiTheme="majorBidi" w:hAnsiTheme="majorBidi" w:cstheme="majorBidi"/>
        </w:rPr>
        <w:t xml:space="preserve">. </w:t>
      </w:r>
      <w:r w:rsidRPr="00CC47BC">
        <w:rPr>
          <w:rFonts w:asciiTheme="majorBidi" w:hAnsiTheme="majorBidi" w:cstheme="majorBidi"/>
        </w:rPr>
        <w:t>The exact incidence of LCH in Saudi Arabia is uncertain; however, data from the National Cancer Registry, Saudi Arabia (SA-NCR) for pediatric patients (age 0-14 years) diagnosed between 2005 and 2009 reported an incidence of 0.12%</w:t>
      </w:r>
      <w:r w:rsidR="00D87B20">
        <w:rPr>
          <w:rFonts w:asciiTheme="majorBidi" w:hAnsiTheme="majorBidi" w:cstheme="majorBidi"/>
        </w:rPr>
        <w:t xml:space="preserve"> </w:t>
      </w:r>
      <w:r w:rsidR="00D87B20">
        <w:rPr>
          <w:rFonts w:asciiTheme="majorBidi" w:hAnsiTheme="majorBidi" w:cstheme="majorBidi"/>
        </w:rPr>
        <w:fldChar w:fldCharType="begin" w:fldLock="1"/>
      </w:r>
      <w:r w:rsidR="00D87B20">
        <w:rPr>
          <w:rFonts w:asciiTheme="majorBidi" w:hAnsiTheme="majorBidi" w:cstheme="majorBidi"/>
        </w:rPr>
        <w:instrText>ADDIN CSL_CITATION {"citationItems":[{"id":"ITEM-1","itemData":{"DOI":"10.1002/pbc.27684","ISSN":"15455017","PMID":"30803142","abstract":"Purpose: Information regarding the incidence and patterns of childhood malignancies is disproportionately overrepresented by high-income countries, representing mainly the Caucasian population. There is a need to evaluate and disseminate information for other ethnicities, particularly from the Middle East. Methods: Data from the National Cancer Registry, Saudi Arabia (SA-NCR), for pediatric patients (age 0–14 years) diagnosed between 2005 and 2009 and for similar patients at our institution during the same period were analyzed. Population numbers reported in the 2007 national census were used to calculate the annual incidence of childhood cancer. Results: Data from SA-NCR on 3885 patients were included in this analysis. The median age was 5.58 years, and 57.3% were males. The annual age-specific cancer incidence rate (ASR) for children in SA is 99.83 per million population; ASR per million for lymphoid leukemia is 25.75, 12.05 for brain tumors, and 9.82 for Hodgkin lymphoma. Of all childhood cancers in SA, 35% were treated at our institution. The five-year overall survival for these 1350 patients is 74.6% (median follow-up 7.52 years [95% confidence interval: 7.36–7.68]). Significant differences in the distribution of childhood malignancy subtypes were evident compared with other countries. Conclusion: We have reported differences in the cancer ASR and cancer subtype distribution for children in SA as compared with the worldwide incidence and with other populations. This paper provides a comprehensive epidemiological overview of childhood cancer in SA, which could be extrapolated to other regional Arab populations.","author":[{"dropping-particle":"","family":"Belgaumi","given":"Asim F.","non-dropping-particle":"","parse-names":false,"suffix":""},{"dropping-particle":"","family":"Pathan","given":"Ghulam Q.","non-dropping-particle":"","parse-names":false,"suffix":""},{"dropping-particle":"","family":"Siddiqui","given":"Khawar","non-dropping-particle":"","parse-names":false,"suffix":""},{"dropping-particle":"","family":"Ali","given":"Afshan A.","non-dropping-particle":"","parse-names":false,"suffix":""},{"dropping-particle":"","family":"Al-Fawaz","given":"Ibrahim","non-dropping-particle":"","parse-names":false,"suffix":""},{"dropping-particle":"","family":"Al-Sweedan","given":"Suleimman","non-dropping-particle":"","parse-names":false,"suffix":""},{"dropping-particle":"","family":"Ayas","given":"Mouhab","non-dropping-particle":"","parse-names":false,"suffix":""},{"dropping-particle":"","family":"Al-Kofide","given":"Amani A.","non-dropping-particle":"","parse-names":false,"suffix":""}],"container-title":"Pediatric Blood and Cancer","id":"ITEM-1","issue":"6","issued":{"date-parts":[["2019"]]},"page":"53-60","title":"Incidence, clinical distribution, and patient characteristics of childhood cancer in Saudi Arabia: A population-based analysis","type":"article-journal","volume":"66"},"uris":["http://www.mendeley.com/documents/?uuid=fdfee20f-7bc9-4e96-a437-6730cd4666cd"]}],"mendeley":{"formattedCitation":"(Belgaumi et al., 2019)","plainTextFormattedCitation":"(Belgaumi et al., 2019)","previouslyFormattedCitation":"(Belgaumi et al., 2019)"},"properties":{"noteIndex":0},"schema":"https://github.com/citation-style-language/schema/raw/master/csl-citation.json"}</w:instrText>
      </w:r>
      <w:r w:rsidR="00D87B20">
        <w:rPr>
          <w:rFonts w:asciiTheme="majorBidi" w:hAnsiTheme="majorBidi" w:cstheme="majorBidi"/>
        </w:rPr>
        <w:fldChar w:fldCharType="separate"/>
      </w:r>
      <w:r w:rsidR="00D87B20" w:rsidRPr="00D87B20">
        <w:rPr>
          <w:rFonts w:asciiTheme="majorBidi" w:hAnsiTheme="majorBidi" w:cstheme="majorBidi"/>
          <w:noProof/>
        </w:rPr>
        <w:t>(Belgaumi et al., 2019)</w:t>
      </w:r>
      <w:r w:rsidR="00D87B20">
        <w:rPr>
          <w:rFonts w:asciiTheme="majorBidi" w:hAnsiTheme="majorBidi" w:cstheme="majorBidi"/>
        </w:rPr>
        <w:fldChar w:fldCharType="end"/>
      </w:r>
      <w:r w:rsidRPr="00CC47BC">
        <w:rPr>
          <w:rFonts w:asciiTheme="majorBidi" w:hAnsiTheme="majorBidi" w:cstheme="majorBidi"/>
        </w:rPr>
        <w:t>.</w:t>
      </w:r>
      <w:r w:rsidR="00D87B20">
        <w:rPr>
          <w:rFonts w:asciiTheme="majorBidi" w:hAnsiTheme="majorBidi" w:cstheme="majorBidi"/>
        </w:rPr>
        <w:t xml:space="preserve"> </w:t>
      </w:r>
      <w:r w:rsidRPr="00CC47BC">
        <w:rPr>
          <w:rFonts w:asciiTheme="majorBidi" w:hAnsiTheme="majorBidi" w:cstheme="majorBidi"/>
        </w:rPr>
        <w:t>Al-Mulhim et al</w:t>
      </w:r>
      <w:r>
        <w:rPr>
          <w:rFonts w:ascii="Times New Roman" w:eastAsia="Calibri" w:hAnsi="Times New Roman" w:cs="Times New Roman"/>
        </w:rPr>
        <w:t xml:space="preserve">. </w:t>
      </w:r>
      <w:r w:rsidRPr="00CC47BC">
        <w:rPr>
          <w:rFonts w:asciiTheme="majorBidi" w:hAnsiTheme="majorBidi" w:cstheme="majorBidi"/>
        </w:rPr>
        <w:t>reported the outcome of 21 Saudi children with Histiocytosis-X. At the median of 3 years follow, three patients died, three had recurrences</w:t>
      </w:r>
      <w:r>
        <w:rPr>
          <w:rFonts w:ascii="Times New Roman" w:eastAsia="Calibri" w:hAnsi="Times New Roman" w:cs="Times New Roman"/>
        </w:rPr>
        <w:t xml:space="preserve">, and eight patients had various disabilities (38%). The </w:t>
      </w:r>
      <w:r w:rsidRPr="00CC47BC">
        <w:rPr>
          <w:rFonts w:asciiTheme="majorBidi" w:hAnsiTheme="majorBidi" w:cstheme="majorBidi"/>
        </w:rPr>
        <w:t xml:space="preserve">overall disease-free survival </w:t>
      </w:r>
      <w:r>
        <w:rPr>
          <w:rFonts w:ascii="Times New Roman" w:eastAsia="Calibri" w:hAnsi="Times New Roman" w:cs="Times New Roman"/>
        </w:rPr>
        <w:t>rate was 84.2%</w:t>
      </w:r>
      <w:r w:rsidR="00D87B20">
        <w:rPr>
          <w:rFonts w:asciiTheme="majorBidi" w:hAnsiTheme="majorBidi" w:cstheme="majorBidi"/>
        </w:rPr>
        <w:t xml:space="preserve"> </w:t>
      </w:r>
      <w:r w:rsidR="00D87B20">
        <w:rPr>
          <w:rFonts w:asciiTheme="majorBidi" w:hAnsiTheme="majorBidi" w:cstheme="majorBidi"/>
        </w:rPr>
        <w:fldChar w:fldCharType="begin" w:fldLock="1"/>
      </w:r>
      <w:r w:rsidR="00D87B20">
        <w:rPr>
          <w:rFonts w:asciiTheme="majorBidi" w:hAnsiTheme="majorBidi" w:cstheme="majorBidi"/>
        </w:rPr>
        <w:instrText>ADDIN CSL_CITATION {"citationItems":[{"id":"ITEM-1","itemData":{"ISSN":"0019509X","PMID":"1937547","author":[{"dropping-particle":"","family":"Al-Mulhim","given":"I.","non-dropping-particle":"","parse-names":false,"suffix":""},{"dropping-particle":"","family":"Sabbah","given":"R. S.","non-dropping-particle":"","parse-names":false,"suffix":""},{"dropping-particle":"","family":"Al-Akkad","given":"S.","non-dropping-particle":"","parse-names":false,"suffix":""}],"container-title":"Indian Journal of Cancer","id":"ITEM-1","issue":"2","issued":{"date-parts":[["1991"]]},"page":"53-60","title":"Histiocytosis-X in Saudi children","type":"article-journal","volume":"28"},"uris":["http://www.mendeley.com/documents/?uuid=5f4a606a-992e-4424-9baf-25faa4bfcf16"]}],"mendeley":{"formattedCitation":"(Al-Mulhim et al., 1991)","plainTextFormattedCitation":"(Al-Mulhim et al., 1991)","previouslyFormattedCitation":"(Al-Mulhim et al., 1991)"},"properties":{"noteIndex":0},"schema":"https://github.com/citation-style-language/schema/raw/master/csl-citation.json"}</w:instrText>
      </w:r>
      <w:r w:rsidR="00D87B20">
        <w:rPr>
          <w:rFonts w:asciiTheme="majorBidi" w:hAnsiTheme="majorBidi" w:cstheme="majorBidi"/>
        </w:rPr>
        <w:fldChar w:fldCharType="separate"/>
      </w:r>
      <w:r w:rsidR="00D87B20" w:rsidRPr="00D87B20">
        <w:rPr>
          <w:rFonts w:asciiTheme="majorBidi" w:hAnsiTheme="majorBidi" w:cstheme="majorBidi"/>
          <w:noProof/>
        </w:rPr>
        <w:t>(Al-Mulhim et al., 1991)</w:t>
      </w:r>
      <w:r w:rsidR="00D87B20">
        <w:rPr>
          <w:rFonts w:asciiTheme="majorBidi" w:hAnsiTheme="majorBidi" w:cstheme="majorBidi"/>
        </w:rPr>
        <w:fldChar w:fldCharType="end"/>
      </w:r>
      <w:r w:rsidRPr="00CC47BC">
        <w:rPr>
          <w:rFonts w:asciiTheme="majorBidi" w:hAnsiTheme="majorBidi" w:cstheme="majorBidi"/>
        </w:rPr>
        <w:t xml:space="preserve">. The paucity of confirmed LCH </w:t>
      </w:r>
      <w:r>
        <w:rPr>
          <w:rFonts w:ascii="Times New Roman" w:eastAsia="Calibri" w:hAnsi="Times New Roman" w:cs="Times New Roman"/>
        </w:rPr>
        <w:t xml:space="preserve">cases may suggest a degree of under-reporting or under-diagnosis in these previous studies, or cases that may be treated without chemotherapy are not included in SA-NCR.  LCH has a wide clinical variety and outcomes. Localized disease is usually </w:t>
      </w:r>
      <w:r w:rsidRPr="00CC47BC">
        <w:rPr>
          <w:rFonts w:asciiTheme="majorBidi" w:hAnsiTheme="majorBidi" w:cstheme="majorBidi"/>
        </w:rPr>
        <w:t>observed in older patients, whereas a more aggressive form of disease with organ dysfunction is typical in children younger than 24 months of age</w:t>
      </w:r>
      <w:r w:rsidR="00D87B20">
        <w:rPr>
          <w:rFonts w:asciiTheme="majorBidi" w:hAnsiTheme="majorBidi" w:cstheme="majorBidi"/>
        </w:rPr>
        <w:t xml:space="preserve"> </w:t>
      </w:r>
      <w:r w:rsidR="00D87B20">
        <w:rPr>
          <w:rFonts w:asciiTheme="majorBidi" w:hAnsiTheme="majorBidi" w:cstheme="majorBidi"/>
        </w:rPr>
        <w:fldChar w:fldCharType="begin" w:fldLock="1"/>
      </w:r>
      <w:r w:rsidR="00D87B20">
        <w:rPr>
          <w:rFonts w:asciiTheme="majorBidi" w:hAnsiTheme="majorBidi" w:cstheme="majorBidi"/>
        </w:rPr>
        <w:instrText>ADDIN CSL_CITATION {"citationItems":[{"id":"ITEM-1","itemData":{"ISSN":"00070920","PMID":"8075001","abstract":"Langerhans cell histiocytosis is a disease which frustrates both clinician and scientist. Its aetiology is unknown, its pathogenesis is ill understood and the clinical course is unpredictable. Historically, the different nomenclatures reflecting the first clinical descriptions by Hand (1893, 1921), Schuller (1915) and Christian (1920), and subsequently by Letterer (1924) and Siwe (1933), led to confusion only partially resolved by Lichtenstein (1953) who recognised that the disease in each of these clinical syndromes were components of a spectrum of disease involving the histiocyte. He proposed his unifying concept of Histiocytosis X - 'X' being the unknown aetiological factor. In 1973, Nezelof recognised the lesional cell as a 'Langerhans-like' cell but it took another decade for the disease to be recognised as a single entity and the term Langerhans cell histiocytosis to be internationally accepted. The publication, by the Histiocyte Society (1987), of their classification of the histiocyte disorders together with criteria for pathological diagnosis and clinical evaluation of Langerhans cell histiocytosis have consolidated the position. This article details the wide variety of clinical manifestations of the disease and its sequelae and discusses possible epidemiological factors. Finally it looks at the potential implications of recent scientific research on the management of the disease.","author":[{"dropping-particle":"","family":"Broadbent","given":"V.","non-dropping-particle":"","parse-names":false,"suffix":""},{"dropping-particle":"","family":"Egeler","given":"R. M.","non-dropping-particle":"","parse-names":false,"suffix":""},{"dropping-particle":"","family":"Nesbit","given":"M. E.","non-dropping-particle":"","parse-names":false,"suffix":""}],"container-title":"British Journal of Cancer","id":"ITEM-1","issued":{"date-parts":[["1994"]]},"page":"S11-6","title":"Langerhans cell histiocytosis - clinical and epidemiological aspects","type":"article-journal","volume":"33"},"uris":["http://www.mendeley.com/documents/?uuid=a597b365-9f1e-4339-813b-439af51d2ba5"]}],"mendeley":{"formattedCitation":"(Broadbent et al., 1994)","plainTextFormattedCitation":"(Broadbent et al., 1994)","previouslyFormattedCitation":"(Broadbent et al., 1994)"},"properties":{"noteIndex":0},"schema":"https://github.com/citation-style-language/schema/raw/master/csl-citation.json"}</w:instrText>
      </w:r>
      <w:r w:rsidR="00D87B20">
        <w:rPr>
          <w:rFonts w:asciiTheme="majorBidi" w:hAnsiTheme="majorBidi" w:cstheme="majorBidi"/>
        </w:rPr>
        <w:fldChar w:fldCharType="separate"/>
      </w:r>
      <w:r w:rsidR="00D87B20" w:rsidRPr="00D87B20">
        <w:rPr>
          <w:rFonts w:asciiTheme="majorBidi" w:hAnsiTheme="majorBidi" w:cstheme="majorBidi"/>
          <w:noProof/>
        </w:rPr>
        <w:t>(Broadbent et al., 1994)</w:t>
      </w:r>
      <w:r w:rsidR="00D87B20">
        <w:rPr>
          <w:rFonts w:asciiTheme="majorBidi" w:hAnsiTheme="majorBidi" w:cstheme="majorBidi"/>
        </w:rPr>
        <w:fldChar w:fldCharType="end"/>
      </w:r>
      <w:r w:rsidR="00D87B20">
        <w:rPr>
          <w:rFonts w:asciiTheme="majorBidi" w:hAnsiTheme="majorBidi" w:cstheme="majorBidi"/>
        </w:rPr>
        <w:t>.</w:t>
      </w:r>
      <w:r w:rsidRPr="00CC47BC">
        <w:rPr>
          <w:rFonts w:asciiTheme="majorBidi" w:hAnsiTheme="majorBidi" w:cstheme="majorBidi"/>
        </w:rPr>
        <w:t xml:space="preserve"> </w:t>
      </w:r>
      <w:r w:rsidR="00032BBB">
        <w:rPr>
          <w:rFonts w:asciiTheme="majorBidi" w:hAnsiTheme="majorBidi" w:cstheme="majorBidi"/>
        </w:rPr>
        <w:t xml:space="preserve">The </w:t>
      </w:r>
      <w:r w:rsidR="00032BBB" w:rsidRPr="00CC47BC">
        <w:rPr>
          <w:rFonts w:asciiTheme="majorBidi" w:hAnsiTheme="majorBidi" w:cstheme="majorBidi"/>
        </w:rPr>
        <w:t>data</w:t>
      </w:r>
      <w:r w:rsidRPr="00CC47BC">
        <w:rPr>
          <w:rFonts w:asciiTheme="majorBidi" w:hAnsiTheme="majorBidi" w:cstheme="majorBidi"/>
        </w:rPr>
        <w:t xml:space="preserve"> support this, with more patients younger than two years presenting with MS-LCH than older patients. The distribution between sexes in patient</w:t>
      </w:r>
      <w:r w:rsidR="00C65603">
        <w:rPr>
          <w:rFonts w:asciiTheme="majorBidi" w:hAnsiTheme="majorBidi" w:cstheme="majorBidi"/>
        </w:rPr>
        <w:t>s</w:t>
      </w:r>
      <w:r w:rsidRPr="00CC47BC">
        <w:rPr>
          <w:rFonts w:asciiTheme="majorBidi" w:hAnsiTheme="majorBidi" w:cstheme="majorBidi"/>
        </w:rPr>
        <w:t xml:space="preserve"> </w:t>
      </w:r>
      <w:r>
        <w:rPr>
          <w:rFonts w:ascii="Times New Roman" w:eastAsia="Calibri" w:hAnsi="Times New Roman" w:cs="Times New Roman"/>
        </w:rPr>
        <w:t>is in accord</w:t>
      </w:r>
      <w:r w:rsidRPr="00CC47BC">
        <w:rPr>
          <w:rFonts w:asciiTheme="majorBidi" w:hAnsiTheme="majorBidi" w:cstheme="majorBidi"/>
        </w:rPr>
        <w:t xml:space="preserve">ance with most previous </w:t>
      </w:r>
      <w:r w:rsidRPr="00CC47BC">
        <w:rPr>
          <w:rFonts w:asciiTheme="majorBidi" w:hAnsiTheme="majorBidi" w:cstheme="majorBidi"/>
        </w:rPr>
        <w:lastRenderedPageBreak/>
        <w:t>studies that showed ratios from 1.1 to 2 boys to every girl. Age is an important prognostic factor for MS-LCH</w:t>
      </w:r>
      <w:r>
        <w:rPr>
          <w:rFonts w:ascii="Times New Roman" w:eastAsia="Calibri" w:hAnsi="Times New Roman" w:cs="Times New Roman"/>
        </w:rPr>
        <w:t xml:space="preserve"> patients. The </w:t>
      </w:r>
      <w:r w:rsidRPr="00CC47BC">
        <w:rPr>
          <w:rFonts w:asciiTheme="majorBidi" w:hAnsiTheme="majorBidi" w:cstheme="majorBidi"/>
        </w:rPr>
        <w:t xml:space="preserve">majority of our younger (&lt;2 years) patients (71.4%) presented with MS-LCH (P&lt;0.004). Due to </w:t>
      </w:r>
      <w:r>
        <w:rPr>
          <w:rFonts w:ascii="Times New Roman" w:eastAsia="Calibri" w:hAnsi="Times New Roman" w:cs="Times New Roman"/>
        </w:rPr>
        <w:t xml:space="preserve">the small number of patients in our series, age at diagnosis was not associated with the outcome.  Skin rash may </w:t>
      </w:r>
      <w:r w:rsidRPr="00CC47BC">
        <w:rPr>
          <w:rFonts w:asciiTheme="majorBidi" w:hAnsiTheme="majorBidi" w:cstheme="majorBidi"/>
        </w:rPr>
        <w:t>be the first sign of LCH</w:t>
      </w:r>
      <w:r w:rsidR="00124F9C">
        <w:rPr>
          <w:rFonts w:asciiTheme="majorBidi" w:hAnsiTheme="majorBidi" w:cstheme="majorBidi"/>
        </w:rPr>
        <w:t xml:space="preserve"> </w:t>
      </w:r>
      <w:r w:rsidR="00124F9C">
        <w:rPr>
          <w:rFonts w:asciiTheme="majorBidi" w:hAnsiTheme="majorBidi" w:cstheme="majorBidi"/>
        </w:rPr>
        <w:fldChar w:fldCharType="begin" w:fldLock="1"/>
      </w:r>
      <w:r w:rsidR="00124F9C">
        <w:rPr>
          <w:rFonts w:asciiTheme="majorBidi" w:hAnsiTheme="majorBidi" w:cstheme="majorBidi"/>
        </w:rPr>
        <w:instrText>ADDIN CSL_CITATION {"citationItems":[{"id":"ITEM-1","itemData":{"DOI":"10.1002/(SICI)1097-0142(19990515)85:10&lt;2278::AID-CNCR25&gt;3.0.CO;2-U","ISSN":"0008543X","PMID":"10326709","abstract":"BACKGROUND. The objective of this descriptive analysis of a large cohort of patients with Langerhans cell histiocytosis (LCH) was to add to the understanding of the natural history, management, and outcome of this disease. METHODS. Three hundred fourteen Mayo Clinic patients with histologically proven LCH were categorized into those patients with multisystem disease and those patients with single system disease. Clinical features, treatment, and outcome were determined from the case history notes and tumor registry correspondence. Treatment included chemotherapy, radiotherapy, and surgical excision. The end points were disease free survival, active disease, or death. The median time of follow-up was 4 years (range, 1 month to 47.5 years). RESULTS. The age of the patients ranged from 2 months to 83 years. Of the 314 patients, there were 28 deaths. Multisystemic LCH was found in 96 patients, 25 of whom had continuing active disease after treatment. Isolated bone LCH lesions were observed in 114 of the 314 patients, 111 of whom (97%) achieved disease free survival after treatment. The most common sites of osseous LCH were the skull and proximal femur. Of the 87 patients with isolated pulmonary involvement, only 3 were nonsmokers. After treatment with corticosteroids (± cyclophosphamide or busulphan), 74 patients achieved disease free survival, but 10 patients died. Pituitary-thalamic axis LCH, characterized by diabetes insipidus, was found in 44 patients. After treatment, 30 of these patients had disease free survival, but all required long term hormone replacement with desmopressin acetate. Lymph node involvement was found in 21 patients, and mucocutaneous involvement was found in 77 patients. CONCLUSIONS. Patients with isolated bone LCH lesions have the best prognesis compared with patients with LCH involvement of other systems. By contrast, 20% of patients with multisystem involvement have a progressive disease course despite treatment. The identification of prognostic indicators to facilitate appropriate treatment and long term follow-up surveillance is recommended.","author":[{"dropping-particle":"","family":"Howarth","given":"Douglas M.","non-dropping-particle":"","parse-names":false,"suffix":""},{"dropping-particle":"","family":"Gilchrist","given":"Gerald S.","non-dropping-particle":"","parse-names":false,"suffix":""},{"dropping-particle":"","family":"Mullan","given":"Brian P.","non-dropping-particle":"","parse-names":false,"suffix":""},{"dropping-particle":"","family":"Wiseman","given":"Gregory A.","non-dropping-particle":"","parse-names":false,"suffix":""},{"dropping-particle":"","family":"Edmonson","given":"John H.","non-dropping-particle":"","parse-names":false,"suffix":""},{"dropping-particle":"","family":"Schomberg","given":"Paula J.","non-dropping-particle":"","parse-names":false,"suffix":""}],"container-title":"Cancer","id":"ITEM-1","issue":"10","issued":{"date-parts":[["1999"]]},"page":"2278-90","title":"Langerhans cell histiocytosis diagnosis, natural history, management, and outcome","type":"article-journal","volume":"85"},"uris":["http://www.mendeley.com/documents/?uuid=1c7ee94c-e3a0-46c3-84c2-e7d809958e03"]}],"mendeley":{"formattedCitation":"(Howarth et al., 1999)","plainTextFormattedCitation":"(Howarth et al., 1999)","previouslyFormattedCitation":"(Howarth et al., 1999)"},"properties":{"noteIndex":0},"schema":"https://github.com/citation-style-language/schema/raw/master/csl-citation.json"}</w:instrText>
      </w:r>
      <w:r w:rsidR="00124F9C">
        <w:rPr>
          <w:rFonts w:asciiTheme="majorBidi" w:hAnsiTheme="majorBidi" w:cstheme="majorBidi"/>
        </w:rPr>
        <w:fldChar w:fldCharType="separate"/>
      </w:r>
      <w:r w:rsidR="00124F9C" w:rsidRPr="00124F9C">
        <w:rPr>
          <w:rFonts w:asciiTheme="majorBidi" w:hAnsiTheme="majorBidi" w:cstheme="majorBidi"/>
          <w:noProof/>
        </w:rPr>
        <w:t>(Howarth et al., 1999)</w:t>
      </w:r>
      <w:r w:rsidR="00124F9C">
        <w:rPr>
          <w:rFonts w:asciiTheme="majorBidi" w:hAnsiTheme="majorBidi" w:cstheme="majorBidi"/>
        </w:rPr>
        <w:fldChar w:fldCharType="end"/>
      </w:r>
      <w:r w:rsidRPr="00CC47BC">
        <w:rPr>
          <w:rFonts w:asciiTheme="majorBidi" w:hAnsiTheme="majorBidi" w:cstheme="majorBidi"/>
        </w:rPr>
        <w:t xml:space="preserve">. In the current study, of the nine children who had initial skin lesions, three received previous treatments for other pathologies that could </w:t>
      </w:r>
      <w:r>
        <w:rPr>
          <w:rFonts w:ascii="Times New Roman" w:eastAsia="Calibri" w:hAnsi="Times New Roman" w:cs="Times New Roman"/>
        </w:rPr>
        <w:t xml:space="preserve">have </w:t>
      </w:r>
      <w:r w:rsidRPr="00CC47BC">
        <w:rPr>
          <w:rFonts w:asciiTheme="majorBidi" w:hAnsiTheme="majorBidi" w:cstheme="majorBidi"/>
        </w:rPr>
        <w:t>resulted in a diagnostic deferral.</w:t>
      </w:r>
    </w:p>
    <w:p w14:paraId="0D012FF3" w14:textId="149550B1" w:rsidR="00CC47BC" w:rsidRDefault="005E46C3" w:rsidP="00CC47BC">
      <w:pPr>
        <w:spacing w:after="120"/>
        <w:jc w:val="both"/>
        <w:rPr>
          <w:rFonts w:asciiTheme="majorBidi" w:hAnsiTheme="majorBidi" w:cstheme="majorBidi"/>
        </w:rPr>
      </w:pPr>
      <w:r w:rsidRPr="00CC47BC">
        <w:rPr>
          <w:rFonts w:asciiTheme="majorBidi" w:hAnsiTheme="majorBidi" w:cstheme="majorBidi"/>
        </w:rPr>
        <w:t>Ear involvement was described in five patients, which was often misdiagnosed as otitis infection. It is more common among younger children with multisystem disease; therefore, the presence of persistent otitis that does not respond to common treatments should increase the suspicion of LCH</w:t>
      </w:r>
      <w:r w:rsidR="00124F9C">
        <w:rPr>
          <w:rFonts w:asciiTheme="majorBidi" w:hAnsiTheme="majorBidi" w:cstheme="majorBidi"/>
        </w:rPr>
        <w:t xml:space="preserve"> </w:t>
      </w:r>
      <w:r w:rsidR="00124F9C">
        <w:rPr>
          <w:rFonts w:asciiTheme="majorBidi" w:hAnsiTheme="majorBidi" w:cstheme="majorBidi"/>
        </w:rPr>
        <w:fldChar w:fldCharType="begin" w:fldLock="1"/>
      </w:r>
      <w:r w:rsidR="00124F9C">
        <w:rPr>
          <w:rFonts w:asciiTheme="majorBidi" w:hAnsiTheme="majorBidi" w:cstheme="majorBidi"/>
        </w:rPr>
        <w:instrText>ADDIN CSL_CITATION {"citationItems":[{"id":"ITEM-1","itemData":{"DOI":"10.1002/(SICI)1097-0347(200001)22:1&lt;42::AID-HED7&gt;3.0.CO;2-5","ISSN":"10433074","PMID":"10585604","abstract":"Background. Ear involvement (El) in Langerhans' cell histiocytosis (LCH) occurs quite often. We reviewed the Italian pediatric population of 251 children with LCH diagnosed between 1982 and 1995, focusing on El, to highlight the prevalence, the clinical presentation, the outcome during follow-up, and the prognostic impact of otologic LCH. Methods. El was defined by chronic otorrhea and/or mastoid infiltration, external auditory meatus lesions, and middle/internal El. The age at diagnosis, sex, system involved, organ dysfunction, treatment, disease control, and outcome were recorded. Results. El was noted at presentation in 34 children (13.5%). They had a younger age at diagnosis (p = .0013) and near totality of multisystem disease (93.8% of patients with El). Among patients with multisystem disease, children with El seemed to have a higher risk of poor response and a higher percentage of second line treatment (p = .003). Conclusions. El seems to identify patients with a particular disease behavior, which requires a more accurate evaluation at diagnosis, staging and treatment, and a strict follow-up, considering the possibility of an unfavorable outcome.","author":[{"dropping-particle":"","family":"Surico","given":"Giammarco","non-dropping-particle":"","parse-names":false,"suffix":""},{"dropping-particle":"","family":"Muggeo","given":"Paola","non-dropping-particle":"","parse-names":false,"suffix":""},{"dropping-particle":"","family":"Muggeo","given":"Vito","non-dropping-particle":"","parse-names":false,"suffix":""},{"dropping-particle":"","family":"Conti","given":"Valeria","non-dropping-particle":"","parse-names":false,"suffix":""},{"dropping-particle":"","family":"Novielli","given":"Chiara","non-dropping-particle":"","parse-names":false,"suffix":""},{"dropping-particle":"","family":"Romano","given":"Annarosa","non-dropping-particle":"","parse-names":false,"suffix":""},{"dropping-particle":"","family":"Loiacono","given":"Giuseppe","non-dropping-particle":"","parse-names":false,"suffix":""},{"dropping-particle":"","family":"Ceci","given":"Adriana","non-dropping-particle":"","parse-names":false,"suffix":""},{"dropping-particle":"","family":"Rigillo","given":"Nicola","non-dropping-particle":"","parse-names":false,"suffix":""}],"container-title":"Head and Neck","id":"ITEM-1","issue":"1","issued":{"date-parts":[["2000"]]},"page":"42-7","title":"Ear involvement in childhood langerhans' cell histiocytosis","type":"article-journal","volume":"22"},"uris":["http://www.mendeley.com/documents/?uuid=e581e583-63d9-4877-80cf-68f429968180"]}],"mendeley":{"formattedCitation":"(Surico et al., 2000)","plainTextFormattedCitation":"(Surico et al., 2000)","previouslyFormattedCitation":"(Surico et al., 2000)"},"properties":{"noteIndex":0},"schema":"https://github.com/citation-style-language/schema/raw/master/csl-citation.json"}</w:instrText>
      </w:r>
      <w:r w:rsidR="00124F9C">
        <w:rPr>
          <w:rFonts w:asciiTheme="majorBidi" w:hAnsiTheme="majorBidi" w:cstheme="majorBidi"/>
        </w:rPr>
        <w:fldChar w:fldCharType="separate"/>
      </w:r>
      <w:r w:rsidR="00124F9C" w:rsidRPr="00124F9C">
        <w:rPr>
          <w:rFonts w:asciiTheme="majorBidi" w:hAnsiTheme="majorBidi" w:cstheme="majorBidi"/>
          <w:noProof/>
        </w:rPr>
        <w:t>(Surico et al., 2000)</w:t>
      </w:r>
      <w:r w:rsidR="00124F9C">
        <w:rPr>
          <w:rFonts w:asciiTheme="majorBidi" w:hAnsiTheme="majorBidi" w:cstheme="majorBidi"/>
        </w:rPr>
        <w:fldChar w:fldCharType="end"/>
      </w:r>
      <w:r w:rsidRPr="00CC47BC">
        <w:rPr>
          <w:rFonts w:asciiTheme="majorBidi" w:hAnsiTheme="majorBidi" w:cstheme="majorBidi"/>
        </w:rPr>
        <w:t xml:space="preserve">. Bony lesions were the </w:t>
      </w:r>
      <w:r>
        <w:rPr>
          <w:rFonts w:ascii="Times New Roman" w:eastAsia="Calibri" w:hAnsi="Times New Roman" w:cs="Times New Roman"/>
        </w:rPr>
        <w:t>most common</w:t>
      </w:r>
      <w:r w:rsidRPr="00CC47BC">
        <w:rPr>
          <w:rFonts w:asciiTheme="majorBidi" w:hAnsiTheme="majorBidi" w:cstheme="majorBidi"/>
        </w:rPr>
        <w:t xml:space="preserve"> initial manifestation of the disease, </w:t>
      </w:r>
      <w:r>
        <w:rPr>
          <w:rFonts w:ascii="Times New Roman" w:eastAsia="Calibri" w:hAnsi="Times New Roman" w:cs="Times New Roman"/>
        </w:rPr>
        <w:t xml:space="preserve">and almost 70% of </w:t>
      </w:r>
      <w:r w:rsidRPr="00CC47BC">
        <w:rPr>
          <w:rFonts w:asciiTheme="majorBidi" w:hAnsiTheme="majorBidi" w:cstheme="majorBidi"/>
        </w:rPr>
        <w:t xml:space="preserve">patients had bone-related swelling and pain. This is consistent with </w:t>
      </w:r>
      <w:r>
        <w:rPr>
          <w:rFonts w:ascii="Times New Roman" w:eastAsia="Calibri" w:hAnsi="Times New Roman" w:cs="Times New Roman"/>
        </w:rPr>
        <w:t>the literature data</w:t>
      </w:r>
      <w:r w:rsidR="00124F9C">
        <w:rPr>
          <w:rFonts w:asciiTheme="majorBidi" w:hAnsiTheme="majorBidi" w:cstheme="majorBidi"/>
        </w:rPr>
        <w:t xml:space="preserve"> </w:t>
      </w:r>
      <w:r w:rsidR="00124F9C">
        <w:rPr>
          <w:rFonts w:asciiTheme="majorBidi" w:hAnsiTheme="majorBidi" w:cstheme="majorBidi"/>
        </w:rPr>
        <w:fldChar w:fldCharType="begin" w:fldLock="1"/>
      </w:r>
      <w:r w:rsidR="0032174F">
        <w:rPr>
          <w:rFonts w:asciiTheme="majorBidi" w:hAnsiTheme="majorBidi" w:cstheme="majorBidi"/>
        </w:rPr>
        <w:instrText>ADDIN CSL_CITATION {"citationItems":[{"id":"ITEM-1","itemData":{"DOI":"10.1016/S0889-8588(05)70508-6","ISSN":"08898588","PMID":"9561898","abstract":"Langerhans cell histiocytosis remains an enigmatic disease with protean manifestations. It may be self-limited in some, whereas in others, even intensive treatment is unsuccessful. The outcome depends on whether vital organ function is compromised at diagnosis or shortly thereafter, in which case the prognosis is grave.","author":[{"dropping-particle":"","family":"Arico","given":"M.","non-dropping-particle":"","parse-names":false,"suffix":""},{"dropping-particle":"","family":"Egeler","given":"R. M.","non-dropping-particle":"","parse-names":false,"suffix":""}],"container-title":"Hematology/Oncology Clinics of North America","id":"ITEM-1","issue":"2","issued":{"date-parts":[["1998"]]},"page":"247-58","title":"Clinical aspects of Langerhans cell histiocytosis","type":"article-journal","volume":"12"},"uris":["http://www.mendeley.com/documents/?uuid=bc395a95-2f81-4426-a9e8-b4fa82f59f3d"]},{"id":"ITEM-2","itemData":{"DOI":"10.1007/s00247-004-1262-0","ISSN":"03010449","PMID":"15289942","abstract":"Langerhans' cell histiocytosis (LCH) is manifested in a variety of ways, the most common being the eosinophilic granuloma, a localized, often solitary bone lesion that occurs predominantly in the pediatric age group. The hallmark of LCH is the proliferation and accumulation of a specific histiocyte: the Langerhans' cell. In bone this may cause pain and adjacent soft-tissue swelling, but some lesions are asymptomatic. LCH can involve any bone, but most lesions occur in the skull (especially the calvarium and temporal bones), the pelvis, spine, mandible, ribs, and tubular bones. Imaging diagnosis of the disease in bone is first based on the plain radiographic appearance, which is usually a central destructive, aggressive-looking lesion. In the skull, the lesions develop in the diploic space, are lytic, and their edges may be beveled, scalloped or confluent (geographic), or show a \"button sequestrum.\" Vertebral body involvement usually causes collapse, resulting in vertebra plana. With significant recent improvements in the quality of gamma cameras, imaging techniques, and in studying children, bone scintigraphy at diagnosis and on follow-up usually reveals the sites of active disease, especially when the involvement is polyostotic. CT and MR imaging are very useful in providing detailed cross-sectional anatomic detail of the involved bone, including the bone marrow and the adjacent soft tissues. CT is better suited for demonstrating bone detail and MR imaging for bone marrow and soft-tissue involvement. © Springer-Verlag 2005.","author":[{"dropping-particle":"","family":"Azouz","given":"E. Michel","non-dropping-particle":"","parse-names":false,"suffix":""},{"dropping-particle":"","family":"Saigal","given":"Gaurav","non-dropping-particle":"","parse-names":false,"suffix":""},{"dropping-particle":"","family":"Rodriguez","given":"Maria M.","non-dropping-particle":"","parse-names":false,"suffix":""},{"dropping-particle":"","family":"Podda","given":"Antonello","non-dropping-particle":"","parse-names":false,"suffix":""}],"container-title":"Pediatric Radiology","id":"ITEM-2","issue":"2","issued":{"date-parts":[["2005"]]},"page":"103-15","title":"Langerhans' cell histiocytosis: Pathology, imaging and treatment of skeletal involvement","type":"article-journal","volume":"35"},"uris":["http://www.mendeley.com/documents/?uuid=bda1c1e0-2862-4ddc-a0a9-aae520f356b3"]},{"id":"ITEM-3","itemData":{"DOI":"10.1159/000098528","ISSN":"10116125","PMID":"17228179","abstract":"Langerhans cell histiocytosis (LCH) is a rare disease that may show as a solitary or multifocal lesion of bone, soft tissue or viscera. Involvement of the temporal bone has been described in 15-61% of patients with LCH, usually in association with multisystemic involvement. We report the case of a 30-year-old man presenting with vertigo and fluctuating hearing loss caused by monosystemic LCH of the left petrous bone. The patient was treated with radiosurgery (covering dose 10 Gy at 85% isodose, maximum dose 11.76 Gy). Two years after treatment, no evidence of recurrent disease was found in the CT scan or MRI. We discuss the treatment of temporal bone LCH, traditionally based on surgery, low-dose radiation therapy and intralesional steroids. To our knowledge, this is the first reported case of LCH of the petrous bone successfully treated with radiosurgery. This approach may be interesting in cases of LCH located on nonaccessible areas of the temporal bone. Copyright © 2007 S. Karger AG.","author":[{"dropping-particle":"","family":"Río","given":"Laura","non-dropping-particle":"Del","parse-names":false,"suffix":""},{"dropping-particle":"","family":"Lassaletta","given":"Luis","non-dropping-particle":"","parse-names":false,"suffix":""},{"dropping-particle":"","family":"Martínez","given":"Roberto","non-dropping-particle":"","parse-names":false,"suffix":""},{"dropping-particle":"","family":"Sarriá","given":"María Josefa","non-dropping-particle":"","parse-names":false,"suffix":""},{"dropping-particle":"","family":"Gavilán","given":"Javier","non-dropping-particle":"","parse-names":false,"suffix":""}],"container-title":"Stereotactic and Functional Neurosurgery","id":"ITEM-3","issue":"2-3","issued":{"date-parts":[["2007"]]},"page":"129-31","title":"Petrous bone Langerhans cell histiocytosis treated with radiosurgery","type":"article-journal","volume":"85"},"uris":["http://www.mendeley.com/documents/?uuid=9fa0c335-4f1a-4866-b2ab-83fb5a8ec308"]},{"id":"ITEM-4","itemData":{"ISSN":"00070920","PMID":"8075001","abstract":"Langerhans cell histiocytosis is a disease which frustrates both clinician and scientist. Its aetiology is unknown, its pathogenesis is ill understood and the clinical course is unpredictable. Historically, the different nomenclatures reflecting the first clinical descriptions by Hand (1893, 1921), Schuller (1915) and Christian (1920), and subsequently by Letterer (1924) and Siwe (1933), led to confusion only partially resolved by Lichtenstein (1953) who recognised that the disease in each of these clinical syndromes were components of a spectrum of disease involving the histiocyte. He proposed his unifying concept of Histiocytosis X - 'X' being the unknown aetiological factor. In 1973, Nezelof recognised the lesional cell as a 'Langerhans-like' cell but it took another decade for the disease to be recognised as a single entity and the term Langerhans cell histiocytosis to be internationally accepted. The publication, by the Histiocyte Society (1987), of their classification of the histiocyte disorders together with criteria for pathological diagnosis and clinical evaluation of Langerhans cell histiocytosis have consolidated the position. This article details the wide variety of clinical manifestations of the disease and its sequelae and discusses possible epidemiological factors. Finally it looks at the potential implications of recent scientific research on the management of the disease.","author":[{"dropping-particle":"","family":"Broadbent","given":"V.","non-dropping-particle":"","parse-names":false,"suffix":""},{"dropping-particle":"","family":"Egeler","given":"R. M.","non-dropping-particle":"","parse-names":false,"suffix":""},{"dropping-particle":"","family":"Nesbit","given":"M. E.","non-dropping-particle":"","parse-names":false,"suffix":""}],"container-title":"British Journal of Cancer","id":"ITEM-4","issued":{"date-parts":[["1994"]]},"page":"S11-6","title":"Langerhans cell histiocytosis - clinical and epidemiological aspects","type":"article-journal","volume":"33"},"uris":["http://www.mendeley.com/documents/?uuid=a597b365-9f1e-4339-813b-439af51d2ba5"]}],"mendeley":{"formattedCitation":"(Arico &amp; Egeler, 1998; Azouz et al., 2005; Broadbent et al., 1994; Del Río et al., 2007)","plainTextFormattedCitation":"(Arico &amp; Egeler, 1998; Azouz et al., 2005; Broadbent et al., 1994; Del Río et al., 2007)","previouslyFormattedCitation":"(Arico &amp; Egeler, 1998; Azouz et al., 2005; Broadbent et al., 1994; Del Río et al., 2007)"},"properties":{"noteIndex":0},"schema":"https://github.com/citation-style-language/schema/raw/master/csl-citation.json"}</w:instrText>
      </w:r>
      <w:r w:rsidR="00124F9C">
        <w:rPr>
          <w:rFonts w:asciiTheme="majorBidi" w:hAnsiTheme="majorBidi" w:cstheme="majorBidi"/>
        </w:rPr>
        <w:fldChar w:fldCharType="separate"/>
      </w:r>
      <w:r w:rsidR="00124F9C" w:rsidRPr="00124F9C">
        <w:rPr>
          <w:rFonts w:asciiTheme="majorBidi" w:hAnsiTheme="majorBidi" w:cstheme="majorBidi"/>
          <w:noProof/>
        </w:rPr>
        <w:t>(Arico &amp; Egeler, 1998; Azouz et al., 2005; Broadbent et al., 1994; Del Río et al., 2007)</w:t>
      </w:r>
      <w:r w:rsidR="00124F9C">
        <w:rPr>
          <w:rFonts w:asciiTheme="majorBidi" w:hAnsiTheme="majorBidi" w:cstheme="majorBidi"/>
        </w:rPr>
        <w:fldChar w:fldCharType="end"/>
      </w:r>
      <w:r w:rsidRPr="00CC47BC">
        <w:rPr>
          <w:rFonts w:asciiTheme="majorBidi" w:hAnsiTheme="majorBidi" w:cstheme="majorBidi"/>
        </w:rPr>
        <w:t>. The reported two deaths occurred in patients with liver dysfunction, one of which died after liver transplantation</w:t>
      </w:r>
      <w:r>
        <w:rPr>
          <w:rFonts w:ascii="Times New Roman" w:eastAsia="Calibri" w:hAnsi="Times New Roman" w:cs="Times New Roman"/>
        </w:rPr>
        <w:t>, which asserts what had been documented before that liver dysfunction is associated with the worst outcome</w:t>
      </w:r>
      <w:r w:rsidR="0032174F">
        <w:rPr>
          <w:rFonts w:asciiTheme="majorBidi" w:hAnsiTheme="majorBidi" w:cstheme="majorBidi"/>
        </w:rPr>
        <w:t xml:space="preserve"> </w:t>
      </w:r>
      <w:r w:rsidR="0032174F">
        <w:rPr>
          <w:rFonts w:asciiTheme="majorBidi" w:hAnsiTheme="majorBidi" w:cstheme="majorBidi"/>
        </w:rPr>
        <w:fldChar w:fldCharType="begin" w:fldLock="1"/>
      </w:r>
      <w:r w:rsidR="0032174F">
        <w:rPr>
          <w:rFonts w:asciiTheme="majorBidi" w:hAnsiTheme="majorBidi" w:cstheme="majorBidi"/>
        </w:rPr>
        <w:instrText>ADDIN CSL_CITATION {"citationItems":[{"id":"ITEM-1","itemData":{"DOI":"10.1136/adc.75.1.17","ISSN":"14682044","abstract":"In a retrospective study involving 32 haematology/oncology departments in France, 348 cases of Langerhans' cell histiocytosis diagnosed between 1983 and 1993 were collated. The percentage of males was 56.4%. Median age at diagnosis was 30.2 months. The median follow up was 35.5 months. Initially, 108 patients (31%) had isolated unifocal or bifocal bone involvement, 67 (19%) had isolated multifocal bone involvement, 136 (39%) had soft tissue involvement without organ dysfunction, and 37 (11%) had organ dysfunction. Two thirds of the sites of involvement diagnosed throughout the course of the disease were present at diagnosis, while the remaining one third appeared during a relapse. Treatment was tailored to the individual patient and was extremely varied, hampering any comparison of regimens. Vinblastine with or without steroids was the most common regimen when systemic chemotherapy was used for the first episode (246/348). Twenty four of the 216 patients received VP 16 as first line treatment. Two patients with progressive multiorgan relapse, despite the use of several drugs, underwent bone marrow transplantation and are alive and disease free 60 and 22 months later. Altogether 21.9% of patients had sequelae, including diabetes insipidus in 17.5% of cases. The overall survival rate is 91.7% (confidence interval 90.7 to 95%) three years after diagnosis. In the univariate analysis, age less than 1 year, ear, nose, and throat, cutaneous, lymph node, liver, spleen, lung, marrow and intestinal involvement, male sex, progressive episodes, the absence of response, and partial responses, were associated with a poor vital prognosis. In a multivariate analysis of prognostic factors, poor early outcome emerged as the most important parameter, closely linked to other poor outcome features such as young age and organ dysfunction. It identified a small number of patients with a poor initial response to treatment, for whom intensive treatment should be assessed in a phase]a trial.","author":[{"dropping-particle":"","family":"Donadieu","given":"Jean","non-dropping-particle":"","parse-names":false,"suffix":""}],"container-title":"Archives of Disease in Childhood","id":"ITEM-1","issue":"1","issued":{"date-parts":[["1996"]]},"page":"17-24","title":"A multicentre retrospective survey of Langerhans' cell histiocytosis: 348 cases observed between 1983 and 1993","type":"article-journal","volume":"75"},"uris":["http://www.mendeley.com/documents/?uuid=8eb415a3-38a5-4c7e-ad17-2c61bfc87006"]},{"id":"ITEM-2","itemData":{"DOI":"10.1002/mpo.2950230203","ISSN":"1096911X","PMID":"8202045","abstract":"Treatment of Langerhans cell histiocytosis (LCH) remains problematic. To test the hypothesis that rapid initiation and longterm continuation of chemotherapy can improve survival and reduce recurrence and late consequences of disseminated LCH, we have completed a prospective clinical trial (DAL HX‐83). One hundred six newly diagnosed patients were stratified into three risk groups (A: multifocal bone disease [n = 28]; B: soft tissue involvement without organ dysfunction [n = 57]; C: organ dysfunction [n = 21]). All patients received an identical initial 6‐week treatment (etoposide [VP‐16], prednisone, and vinblastine), and continuation treatment for 1 year, slightly adapted according to stratification at diagnosis. It included oral 6‐mercaptopurine and eight pulses of vinblastine and prednisone for all patients, plus VP‐16 in group B and VP‐16 and methotrexate in group C. Eighty‐nine percent and 91% of patients in groups A and B and 67% of the most severely affected group C, achieved complete resolution of disease. The speed of resolution was rapid (median 4 months) and independent of disease severity. The frequency of recurrence after initial resolution was low (12%, 23%, and 42% in groups A, B, and C); overall fully 77% of patients have remained free of recurrence. Permanent consequences developed after diagnosis in 20% of the patients. Diabetes insipidus after initiation of treatment occurred in only 10% of patients. Mortality (9%) was limited to patients of groups B (two patients) and C (eight patients). Finally, among the 106 patients treated by DAL HX‐83 none have developed a malignancy (median follow‐up 6 years, 9 months). The shorter duration of active disease, low rate of recurrence and permanent consequences, and improved survival among patients with poor prognosis support the strategy of rapid initiation of a predefined prolonged treatment upon the diagnosis of disseminated LCH. © 1994 Wiley‐Liss, Inc. Copyright © 1994 Wiley‐Liss, Inc., A Wiley Company","author":[{"dropping-particle":"","family":"Gadner","given":"Helmut","non-dropping-particle":"","parse-names":false,"suffix":""},{"dropping-particle":"","family":"Heitger","given":"Andreas","non-dropping-particle":"","parse-names":false,"suffix":""},{"dropping-particle":"","family":"Grois","given":"Nicole","non-dropping-particle":"","parse-names":false,"suffix":""},{"dropping-particle":"","family":"Gatterer‐Menz","given":"Irmgard","non-dropping-particle":"","parse-names":false,"suffix":""},{"dropping-particle":"","family":"Ladisch","given":"Stephan","non-dropping-particle":"","parse-names":false,"suffix":""}],"container-title":"Medical and Pediatric Oncology","id":"ITEM-2","issue":"2","issued":{"date-parts":[["1994"]]},"page":"72-80","title":"Treatment strategy for disseminated langerhans cell histiocytosis","type":"article-journal","volume":"23"},"uris":["http://www.mendeley.com/documents/?uuid=5bf0d6eb-909d-4ba2-81b5-893719611c63"]},{"id":"ITEM-3","itemData":{"DOI":"10.1002/1097-0142(19951215)76:12&lt;2471::AID-CNCR2820761211&gt;3.0.CO;2-Z","ISSN":"10970142","PMID":"8625073","abstract":"Background. Langerhans' cell histiocytosis (LCH) of bone is a disorder of histiocytic proliferation with variable and often unpredictable behavior. Method. The authors evaluated the clinical and pathologic features of 263 patients (172 children, 91 adults) with biopsy‐proven LCH examined during an 80‐year period at the Mayo Clinic. Only patients with bone involvement pathologically and/or radiographically were included in the study. Clinical follow‐up was available for 245 patients and ranged from 3 months to 50 years (mean, 12 years: median, 10 years). Chi‐square tests were used to determine associations between age, gender, extent of osseous involvement, visceral disease, and pathologic features. Survival analyses were performed by univariate and multivariate Cox regression methods. Results. Age at presentation ranged from 2 months to 71 years with a clear predominance in children. The most common presenting complaint was pain, often worse at night. The skull was the most frequent osseous site in children and adults. Diabetes insipidus was documented in 40 patients. Forty‐four children developed skeletal recurrence and/or new bone lesions, 19 of whom had diabetes insipidus. Fourteen children and 3 adults died either directly or indirectly from LCH. One adult patient developed systemic amyloidosis. All but two of these pediatric patients were 3 years of age or younger at presentation. All children with hepatosplenomegaly (7 patients) and/or thrombocytopenia (9 patients) died. Nine of the 14 children who died presented initially with three or more bone lesions. Conclusions. The clinical behavior of LCH of bone is often unpredictable; however, young age at diagnosis, hepatosplenomegaly, thrombocytopenia, and polyostotic (≥3 bones involved) disease are associated with a poor prognosis (P &lt; 0.005). Recrudescence in children, but not in adults, strongly correlates with the presence of diabetes insipidus (P &lt; 0.0005). Copyright © 1995 American Cancer Society","author":[{"dropping-particle":"","family":"Kilpatrick","given":"Scott E.","non-dropping-particle":"","parse-names":false,"suffix":""},{"dropping-particle":"","family":"Wenger","given":"Doris E.","non-dropping-particle":"","parse-names":false,"suffix":""},{"dropping-particle":"","family":"Gilchrist","given":"Gerald S.","non-dropping-particle":"","parse-names":false,"suffix":""},{"dropping-particle":"","family":"Shives","given":"Thomas C.","non-dropping-particle":"","parse-names":false,"suffix":""},{"dropping-particle":"","family":"Wollan","given":"Peter C.","non-dropping-particle":"","parse-names":false,"suffix":""},{"dropping-particle":"","family":"Unni","given":"Krishnan K.","non-dropping-particle":"","parse-names":false,"suffix":""}],"container-title":"Cancer","id":"ITEM-3","issue":"12","issued":{"date-parts":[["1995"]]},"page":"2471-84","title":"Langerhans' cell histiocytosis (histiocytosis X) of bone a clinicopathologic analysis of 263 pediatric and adult cases","type":"article-journal","volume":"76"},"uris":["http://www.mendeley.com/documents/?uuid=6f359709-6503-4ebf-9be8-3a2257daf57d"]},{"id":"ITEM-4","itemData":{"DOI":"10.1016/S0022-3476(75)80576-2","ISSN":"00223476","PMID":"1151558","abstract":"A retrospective analysis of data garnered from the study of 83 patients with histiocytosis X suggests that evaluation of the function of certain organs and the histologic appearance of the lesions may be quite valuable in determining the prognosis and treatment of affected patients. © 1975 The C. V. Mosby Company.","author":[{"dropping-particle":"","family":"Lahey","given":"M. Eugene","non-dropping-particle":"","parse-names":false,"suffix":""}],"container-title":"The Journal of Pediatrics","id":"ITEM-4","issue":"2","issued":{"date-parts":[["1975"]]},"page":"184-9","title":"Histiocytosis X-an analysis of prognostic factors","type":"article-journal","volume":"87"},"uris":["http://www.mendeley.com/documents/?uuid=3c5fced2-0cdb-4d0c-bd8a-46c1d90f8cd8"]}],"mendeley":{"formattedCitation":"(Donadieu, 1996; Gadner et al., 1994; Kilpatrick et al., 1995; Lahey, 1975)","plainTextFormattedCitation":"(Donadieu, 1996; Gadner et al., 1994; Kilpatrick et al., 1995; Lahey, 1975)","previouslyFormattedCitation":"(Donadieu, 1996; Gadner et al., 1994; Kilpatrick et al., 1995; Lahey, 1975)"},"properties":{"noteIndex":0},"schema":"https://github.com/citation-style-language/schema/raw/master/csl-citation.json"}</w:instrText>
      </w:r>
      <w:r w:rsidR="0032174F">
        <w:rPr>
          <w:rFonts w:asciiTheme="majorBidi" w:hAnsiTheme="majorBidi" w:cstheme="majorBidi"/>
        </w:rPr>
        <w:fldChar w:fldCharType="separate"/>
      </w:r>
      <w:r w:rsidR="0032174F" w:rsidRPr="0032174F">
        <w:rPr>
          <w:rFonts w:asciiTheme="majorBidi" w:hAnsiTheme="majorBidi" w:cstheme="majorBidi"/>
          <w:noProof/>
        </w:rPr>
        <w:t>(Donadieu, 1996; Gadner et al., 1994; Kilpatrick et al., 1995; Lahey, 1975)</w:t>
      </w:r>
      <w:r w:rsidR="0032174F">
        <w:rPr>
          <w:rFonts w:asciiTheme="majorBidi" w:hAnsiTheme="majorBidi" w:cstheme="majorBidi"/>
        </w:rPr>
        <w:fldChar w:fldCharType="end"/>
      </w:r>
      <w:r w:rsidRPr="00CC47BC">
        <w:rPr>
          <w:rFonts w:asciiTheme="majorBidi" w:hAnsiTheme="majorBidi" w:cstheme="majorBidi"/>
        </w:rPr>
        <w:t xml:space="preserve">.  </w:t>
      </w:r>
      <w:proofErr w:type="spellStart"/>
      <w:r w:rsidRPr="00CC47BC">
        <w:rPr>
          <w:rFonts w:asciiTheme="majorBidi" w:hAnsiTheme="majorBidi" w:cstheme="majorBidi"/>
        </w:rPr>
        <w:t>Grois</w:t>
      </w:r>
      <w:proofErr w:type="spellEnd"/>
      <w:r w:rsidRPr="00CC47BC">
        <w:rPr>
          <w:rFonts w:asciiTheme="majorBidi" w:hAnsiTheme="majorBidi" w:cstheme="majorBidi"/>
        </w:rPr>
        <w:t xml:space="preserve"> et al</w:t>
      </w:r>
      <w:r>
        <w:rPr>
          <w:rFonts w:ascii="Times New Roman" w:eastAsia="Calibri" w:hAnsi="Times New Roman" w:cs="Times New Roman"/>
        </w:rPr>
        <w:t>. (199</w:t>
      </w:r>
      <w:r w:rsidR="0032174F">
        <w:rPr>
          <w:rFonts w:asciiTheme="majorBidi" w:hAnsiTheme="majorBidi" w:cstheme="majorBidi"/>
        </w:rPr>
        <w:t>5</w:t>
      </w:r>
      <w:r w:rsidRPr="00CC47BC">
        <w:rPr>
          <w:rFonts w:asciiTheme="majorBidi" w:hAnsiTheme="majorBidi" w:cstheme="majorBidi"/>
        </w:rPr>
        <w:t xml:space="preserve">) pointed </w:t>
      </w:r>
      <w:r>
        <w:rPr>
          <w:rFonts w:ascii="Times New Roman" w:eastAsia="Calibri" w:hAnsi="Times New Roman" w:cs="Times New Roman"/>
        </w:rPr>
        <w:t xml:space="preserve">out that diabetes insipidus (DI) is a common manifestation </w:t>
      </w:r>
      <w:r w:rsidRPr="00CC47BC">
        <w:rPr>
          <w:rFonts w:asciiTheme="majorBidi" w:hAnsiTheme="majorBidi" w:cstheme="majorBidi"/>
        </w:rPr>
        <w:t xml:space="preserve">of LCH due to infiltration of </w:t>
      </w:r>
      <w:r>
        <w:rPr>
          <w:rFonts w:ascii="Times New Roman" w:eastAsia="Calibri" w:hAnsi="Times New Roman" w:cs="Times New Roman"/>
        </w:rPr>
        <w:t>the hypothalamic-pituitary axis</w:t>
      </w:r>
      <w:r w:rsidRPr="00CC47BC">
        <w:rPr>
          <w:rFonts w:asciiTheme="majorBidi" w:hAnsiTheme="majorBidi" w:cstheme="majorBidi"/>
        </w:rPr>
        <w:t>, which may precede the disease or manifest itself later during the disease course</w:t>
      </w:r>
      <w:r w:rsidR="0032174F">
        <w:rPr>
          <w:rFonts w:asciiTheme="majorBidi" w:hAnsiTheme="majorBidi" w:cstheme="majorBidi"/>
        </w:rPr>
        <w:t xml:space="preserve"> </w:t>
      </w:r>
      <w:r w:rsidR="0032174F">
        <w:rPr>
          <w:rFonts w:asciiTheme="majorBidi" w:hAnsiTheme="majorBidi" w:cstheme="majorBidi"/>
        </w:rPr>
        <w:fldChar w:fldCharType="begin" w:fldLock="1"/>
      </w:r>
      <w:r w:rsidR="005A797C">
        <w:rPr>
          <w:rFonts w:asciiTheme="majorBidi" w:hAnsiTheme="majorBidi" w:cstheme="majorBidi"/>
        </w:rPr>
        <w:instrText>ADDIN CSL_CITATION {"citationItems":[{"id":"ITEM-1","itemData":{"DOI":"10.1002/mpo.2950240407","ISSN":"1096911X","PMID":"7700170","abstract":"Diabetes insipidus (DI) in Langerhans cell histiocytosis (LCH) is a common complication of unclear etiology. The incidence varies among different publications from 15% to 50%. In the prospective DAL‐HX 83 study, 19 out of 199 patients (9.5%) registered with newly diagnosed LCH were diagnosed to have DI. All patients were stratified according to uniform criteria. One hundred and six patients with disseminated disease were treated with standardized polychemotherapy promptly after diagnosis. At the time of diagnosis of LCH, DI was already established in 8 out of 199 patients (4%). After diagnosis, DI occurred in only one out of the remaining 91 patients with localized disease (1%) and in 10 out of 100 remaining patients with disseminated disease (10%). In 8 patients, the onset of DI was associated with other signs of active LCH. The cumulative risk to develop DI after a median observation time of 5 years 3 months was 11%. Retrospective analysis of clinical features revealed multisystem involvement, skull and orbital lesions, and in particular intracranial extension from osseous lesions to constitute risk factors for DI. Magnetic resonance imaging studies (MRI) were available in 12 patients and showed abnormalities of the pituitary region in 10 children. In none of the patients with established DI was it reversed or ameliorated by any treatment. However, the rapid institution of systemic chemotherapy for disseminated disease seems to prevent the occurrence of DI and may be responsible for the low frequency of DI in the DAL‐HX 83 study. © 1995 Wi1ey‐Liss Inc. Copyright © 1995 Wiley‐Liss, Inc., A Wiley Company","author":[{"dropping-particle":"","family":"Grois","given":"N.","non-dropping-particle":"","parse-names":false,"suffix":""},{"dropping-particle":"","family":"Flucher‐Wolfram","given":"B.","non-dropping-particle":"","parse-names":false,"suffix":""},{"dropping-particle":"","family":"Heitger","given":"A.","non-dropping-particle":"","parse-names":false,"suffix":""},{"dropping-particle":"","family":"Mostbeck","given":"G. H.","non-dropping-particle":"","parse-names":false,"suffix":""},{"dropping-particle":"","family":"Hofmann","given":"J.","non-dropping-particle":"","parse-names":false,"suffix":""},{"dropping-particle":"","family":"Gadner","given":"H.","non-dropping-particle":"","parse-names":false,"suffix":""}],"container-title":"Medical and Pediatric Oncology","id":"ITEM-1","issue":"4","issued":{"date-parts":[["1995"]]},"page":"248-56","title":"Diabetes insipidus in langerhans cell histiocytosi: Results from the DAL‐HX 83 study","type":"article-journal","volume":"24"},"uris":["http://www.mendeley.com/documents/?uuid=b7679e73-c82d-4db6-a3e5-dc1418ca9c3c"]}],"mendeley":{"formattedCitation":"(N. Grois et al., 1995)","plainTextFormattedCitation":"(N. Grois et al., 1995)","previouslyFormattedCitation":"(N. Grois et al., 1995)"},"properties":{"noteIndex":0},"schema":"https://github.com/citation-style-language/schema/raw/master/csl-citation.json"}</w:instrText>
      </w:r>
      <w:r w:rsidR="0032174F">
        <w:rPr>
          <w:rFonts w:asciiTheme="majorBidi" w:hAnsiTheme="majorBidi" w:cstheme="majorBidi"/>
        </w:rPr>
        <w:fldChar w:fldCharType="separate"/>
      </w:r>
      <w:r w:rsidR="005A797C" w:rsidRPr="005A797C">
        <w:rPr>
          <w:rFonts w:asciiTheme="majorBidi" w:hAnsiTheme="majorBidi" w:cstheme="majorBidi"/>
          <w:noProof/>
        </w:rPr>
        <w:t>(N. Grois et al., 1995)</w:t>
      </w:r>
      <w:r w:rsidR="0032174F">
        <w:rPr>
          <w:rFonts w:asciiTheme="majorBidi" w:hAnsiTheme="majorBidi" w:cstheme="majorBidi"/>
        </w:rPr>
        <w:fldChar w:fldCharType="end"/>
      </w:r>
      <w:r w:rsidRPr="00CC47BC">
        <w:rPr>
          <w:rFonts w:asciiTheme="majorBidi" w:hAnsiTheme="majorBidi" w:cstheme="majorBidi"/>
        </w:rPr>
        <w:t>. DI varies considerably, with rates between 5% and 50%</w:t>
      </w:r>
      <w:r w:rsidR="005A797C">
        <w:rPr>
          <w:rFonts w:asciiTheme="majorBidi" w:hAnsiTheme="majorBidi" w:cstheme="majorBidi"/>
        </w:rPr>
        <w:t xml:space="preserve"> </w:t>
      </w:r>
      <w:r w:rsidR="005A797C">
        <w:rPr>
          <w:rFonts w:asciiTheme="majorBidi" w:hAnsiTheme="majorBidi" w:cstheme="majorBidi"/>
        </w:rPr>
        <w:fldChar w:fldCharType="begin" w:fldLock="1"/>
      </w:r>
      <w:r w:rsidR="005A797C">
        <w:rPr>
          <w:rFonts w:asciiTheme="majorBidi" w:hAnsiTheme="majorBidi" w:cstheme="majorBidi"/>
        </w:rPr>
        <w:instrText>ADDIN CSL_CITATION {"citationItems":[{"id":"ITEM-1","itemData":{"DOI":"10.1002/mpo.2950240407","ISSN":"1096911X","PMID":"7700170","abstract":"Diabetes insipidus (DI) in Langerhans cell histiocytosis (LCH) is a common complication of unclear etiology. The incidence varies among different publications from 15% to 50%. In the prospective DAL‐HX 83 study, 19 out of 199 patients (9.5%) registered with newly diagnosed LCH were diagnosed to have DI. All patients were stratified according to uniform criteria. One hundred and six patients with disseminated disease were treated with standardized polychemotherapy promptly after diagnosis. At the time of diagnosis of LCH, DI was already established in 8 out of 199 patients (4%). After diagnosis, DI occurred in only one out of the remaining 91 patients with localized disease (1%) and in 10 out of 100 remaining patients with disseminated disease (10%). In 8 patients, the onset of DI was associated with other signs of active LCH. The cumulative risk to develop DI after a median observation time of 5 years 3 months was 11%. Retrospective analysis of clinical features revealed multisystem involvement, skull and orbital lesions, and in particular intracranial extension from osseous lesions to constitute risk factors for DI. Magnetic resonance imaging studies (MRI) were available in 12 patients and showed abnormalities of the pituitary region in 10 children. In none of the patients with established DI was it reversed or ameliorated by any treatment. However, the rapid institution of systemic chemotherapy for disseminated disease seems to prevent the occurrence of DI and may be responsible for the low frequency of DI in the DAL‐HX 83 study. © 1995 Wi1ey‐Liss Inc. Copyright © 1995 Wiley‐Liss, Inc., A Wiley Company","author":[{"dropping-particle":"","family":"Grois","given":"N.","non-dropping-particle":"","parse-names":false,"suffix":""},{"dropping-particle":"","family":"Flucher‐Wolfram","given":"B.","non-dropping-particle":"","parse-names":false,"suffix":""},{"dropping-particle":"","family":"Heitger","given":"A.","non-dropping-particle":"","parse-names":false,"suffix":""},{"dropping-particle":"","family":"Mostbeck","given":"G. H.","non-dropping-particle":"","parse-names":false,"suffix":""},{"dropping-particle":"","family":"Hofmann","given":"J.","non-dropping-particle":"","parse-names":false,"suffix":""},{"dropping-particle":"","family":"Gadner","given":"H.","non-dropping-particle":"","parse-names":false,"suffix":""}],"container-title":"Medical and Pediatric Oncology","id":"ITEM-1","issue":"4","issued":{"date-parts":[["1995"]]},"page":"248-56","title":"Diabetes insipidus in langerhans cell histiocytosi: Results from the DAL‐HX 83 study","type":"article-journal","volume":"24"},"uris":["http://www.mendeley.com/documents/?uuid=b7679e73-c82d-4db6-a3e5-dc1418ca9c3c"]},{"id":"ITEM-2","itemData":{"DOI":"10.1136/adc.2008.144527","ISSN":"00039888","PMID":"19060008","abstract":"Objectives: There are few published studies on the epidemiology of Langerhans cell histiocytosis (LCH). We undertook a survey to ascertain all newly diagnosed cases aged 0-16 years in the UK and Republic of Ireland. Design: Three methods of ascertainment were used: the British Paediatric Surveillance Unit (BPSU) system, a survey by Newcastle University, and the Children's Cancer and Leukaemia Group (CCLG) registry. Deaths data were obtained from the UK Office for National Statistics and the Central Statistics Office in Ireland. Clinicians who reported cases were sent a questionnaire to obtain demographic and clinical details. Results: Over the 2-year period, 94 cases were identified. The age-standardised incidence rate of LCH in children aged 0-14 years was 4.1 per million per year. The sex ratio (M:F) was 1.5:1 and the median age at diagnosis was 5.9 years. Single system disease (predominantly bony involvement) accounted for 73% of cases and 27% had multisystem disease of whom 7% had involvement of ''risk organs'' (liver, lung, spleen and bone marrow). Three children died, two of whom were diagnosed after death. Conclusions: This is the first study of LCH to use an active surveillance method with additional sources of ascertainment. Our incidence is comparable with those in other national reports, although it is likely to be an underestimate as each method may have missed some cases, either diagnosed or undiagnosed.","author":[{"dropping-particle":"","family":"Salotti","given":"J. A.","non-dropping-particle":"","parse-names":false,"suffix":""},{"dropping-particle":"","family":"Nanduri","given":"V.","non-dropping-particle":"","parse-names":false,"suffix":""},{"dropping-particle":"","family":"Pearce","given":"M. S.","non-dropping-particle":"","parse-names":false,"suffix":""},{"dropping-particle":"","family":"Parker","given":"L.","non-dropping-particle":"","parse-names":false,"suffix":""},{"dropping-particle":"","family":"Lynn","given":"R.","non-dropping-particle":"","parse-names":false,"suffix":""},{"dropping-particle":"","family":"Windebank","given":"K. P.","non-dropping-particle":"","parse-names":false,"suffix":""}],"container-title":"Archives of Disease in Childhood","id":"ITEM-2","issue":"5","issued":{"date-parts":[["2009"]]},"page":"376-80","title":"Incidence and clinical features of Langerhans cell histiocytosis in the UK and Ireland","type":"article-journal","volume":"94"},"uris":["http://www.mendeley.com/documents/?uuid=86cadaba-7d11-41c2-b529-7e7dd9b62df3"]}],"mendeley":{"formattedCitation":"(N. Grois et al., 1995; Salotti et al., 2009)","plainTextFormattedCitation":"(N. Grois et al., 1995; Salotti et al., 2009)","previouslyFormattedCitation":"(N. Grois et al., 1995; Salotti et al., 2009)"},"properties":{"noteIndex":0},"schema":"https://github.com/citation-style-language/schema/raw/master/csl-citation.json"}</w:instrText>
      </w:r>
      <w:r w:rsidR="005A797C">
        <w:rPr>
          <w:rFonts w:asciiTheme="majorBidi" w:hAnsiTheme="majorBidi" w:cstheme="majorBidi"/>
        </w:rPr>
        <w:fldChar w:fldCharType="separate"/>
      </w:r>
      <w:r w:rsidR="005A797C" w:rsidRPr="005A797C">
        <w:rPr>
          <w:rFonts w:asciiTheme="majorBidi" w:hAnsiTheme="majorBidi" w:cstheme="majorBidi"/>
          <w:noProof/>
        </w:rPr>
        <w:t>(N. Grois et al., 1995; Salotti et al., 2009)</w:t>
      </w:r>
      <w:r w:rsidR="005A797C">
        <w:rPr>
          <w:rFonts w:asciiTheme="majorBidi" w:hAnsiTheme="majorBidi" w:cstheme="majorBidi"/>
        </w:rPr>
        <w:fldChar w:fldCharType="end"/>
      </w:r>
      <w:r w:rsidRPr="00CC47BC">
        <w:rPr>
          <w:rFonts w:asciiTheme="majorBidi" w:hAnsiTheme="majorBidi" w:cstheme="majorBidi"/>
        </w:rPr>
        <w:t>.</w:t>
      </w:r>
      <w:r w:rsidR="005A797C">
        <w:rPr>
          <w:rFonts w:asciiTheme="majorBidi" w:hAnsiTheme="majorBidi" w:cstheme="majorBidi"/>
        </w:rPr>
        <w:t xml:space="preserve"> </w:t>
      </w:r>
      <w:r w:rsidRPr="00CC47BC">
        <w:rPr>
          <w:rFonts w:asciiTheme="majorBidi" w:hAnsiTheme="majorBidi" w:cstheme="majorBidi"/>
        </w:rPr>
        <w:t xml:space="preserve">In our patient population, five (15%) patients had </w:t>
      </w:r>
      <w:r>
        <w:rPr>
          <w:rFonts w:ascii="Times New Roman" w:eastAsia="Calibri" w:hAnsi="Times New Roman" w:cs="Times New Roman"/>
        </w:rPr>
        <w:t xml:space="preserve">a long duration of diabetes insipidus before the diagnosis was made, mostly associated with multiple system involvement. Previous </w:t>
      </w:r>
      <w:r w:rsidRPr="00CC47BC">
        <w:rPr>
          <w:rFonts w:asciiTheme="majorBidi" w:hAnsiTheme="majorBidi" w:cstheme="majorBidi"/>
        </w:rPr>
        <w:t>studies have claimed that MS-LCH patients</w:t>
      </w:r>
      <w:r>
        <w:rPr>
          <w:rFonts w:ascii="Times New Roman" w:eastAsia="Calibri" w:hAnsi="Times New Roman" w:cs="Times New Roman"/>
        </w:rPr>
        <w:t>, especially those with craniofacial involvement at diagnosis are 4-6 times more at risk of developing DI than those with a single-system disease</w:t>
      </w:r>
      <w:r w:rsidR="005A797C">
        <w:rPr>
          <w:rFonts w:asciiTheme="majorBidi" w:hAnsiTheme="majorBidi" w:cstheme="majorBidi"/>
        </w:rPr>
        <w:t xml:space="preserve"> </w:t>
      </w:r>
      <w:r w:rsidR="005A797C">
        <w:rPr>
          <w:rFonts w:asciiTheme="majorBidi" w:hAnsiTheme="majorBidi" w:cstheme="majorBidi"/>
        </w:rPr>
        <w:fldChar w:fldCharType="begin" w:fldLock="1"/>
      </w:r>
      <w:r w:rsidR="005A797C">
        <w:rPr>
          <w:rFonts w:asciiTheme="majorBidi" w:hAnsiTheme="majorBidi" w:cstheme="majorBidi"/>
        </w:rPr>
        <w:instrText>ADDIN CSL_CITATION {"citationItems":[{"id":"ITEM-1","itemData":{"DOI":"10.1016/j.jpeds.2010.03.001","ISSN":"00223476","PMID":"20434166","author":[{"dropping-particle":"","family":"Grois","given":"Nicole","non-dropping-particle":"","parse-names":false,"suffix":""},{"dropping-particle":"","family":"Fahrner","given":"Bernhard","non-dropping-particle":"","parse-names":false,"suffix":""},{"dropping-particle":"","family":"Arceci","given":"Robert J.","non-dropping-particle":"","parse-names":false,"suffix":""},{"dropping-particle":"","family":"Henter","given":"Jan Inge","non-dropping-particle":"","parse-names":false,"suffix":""},{"dropping-particle":"","family":"McClain","given":"Kenneth","non-dropping-particle":"","parse-names":false,"suffix":""},{"dropping-particle":"","family":"Lassmann","given":"Hans","non-dropping-particle":"","parse-names":false,"suffix":""},{"dropping-particle":"","family":"Nanduri","given":"Vasanta","non-dropping-particle":"","parse-names":false,"suffix":""},{"dropping-particle":"","family":"Prosch","given":"Helmut","non-dropping-particle":"","parse-names":false,"suffix":""},{"dropping-particle":"","family":"Prayer","given":"Daniela","non-dropping-particle":"","parse-names":false,"suffix":""}],"container-title":"Journal of Pediatrics","id":"ITEM-1","issue":"2","issued":{"date-parts":[["2010"]]},"page":"287-305","title":"Central Nervous System Disease in Langerhans Cell Histiocytosis","type":"article-journal","volume":"12"},"uris":["http://www.mendeley.com/documents/?uuid=3f035228-5598-4ea4-b11e-16dc2154a7c4"]},{"id":"ITEM-2","itemData":{"DOI":"10.1002/mpo.2950240407","ISSN":"1096911X","PMID":"7700170","abstract":"Diabetes insipidus (DI) in Langerhans cell histiocytosis (LCH) is a common complication of unclear etiology. The incidence varies among different publications from 15% to 50%. In the prospective DAL‐HX 83 study, 19 out of 199 patients (9.5%) registered with newly diagnosed LCH were diagnosed to have DI. All patients were stratified according to uniform criteria. One hundred and six patients with disseminated disease were treated with standardized polychemotherapy promptly after diagnosis. At the time of diagnosis of LCH, DI was already established in 8 out of 199 patients (4%). After diagnosis, DI occurred in only one out of the remaining 91 patients with localized disease (1%) and in 10 out of 100 remaining patients with disseminated disease (10%). In 8 patients, the onset of DI was associated with other signs of active LCH. The cumulative risk to develop DI after a median observation time of 5 years 3 months was 11%. Retrospective analysis of clinical features revealed multisystem involvement, skull and orbital lesions, and in particular intracranial extension from osseous lesions to constitute risk factors for DI. Magnetic resonance imaging studies (MRI) were available in 12 patients and showed abnormalities of the pituitary region in 10 children. In none of the patients with established DI was it reversed or ameliorated by any treatment. However, the rapid institution of systemic chemotherapy for disseminated disease seems to prevent the occurrence of DI and may be responsible for the low frequency of DI in the DAL‐HX 83 study. © 1995 Wi1ey‐Liss Inc. Copyright © 1995 Wiley‐Liss, Inc., A Wiley Company","author":[{"dropping-particle":"","family":"Grois","given":"N.","non-dropping-particle":"","parse-names":false,"suffix":""},{"dropping-particle":"","family":"Flucher‐Wolfram","given":"B.","non-dropping-particle":"","parse-names":false,"suffix":""},{"dropping-particle":"","family":"Heitger","given":"A.","non-dropping-particle":"","parse-names":false,"suffix":""},{"dropping-particle":"","family":"Mostbeck","given":"G. H.","non-dropping-particle":"","parse-names":false,"suffix":""},{"dropping-particle":"","family":"Hofmann","given":"J.","non-dropping-particle":"","parse-names":false,"suffix":""},{"dropping-particle":"","family":"Gadner","given":"H.","non-dropping-particle":"","parse-names":false,"suffix":""}],"container-title":"Medical and Pediatric Oncology","id":"ITEM-2","issue":"4","issued":{"date-parts":[["1995"]]},"page":"248-56","title":"Diabetes insipidus in langerhans cell histiocytosi: Results from the DAL‐HX 83 study","type":"article-journal","volume":"24"},"uris":["http://www.mendeley.com/documents/?uuid=b7679e73-c82d-4db6-a3e5-dc1418ca9c3c"]}],"mendeley":{"formattedCitation":"(N. Grois et al., 1995; Nicole Grois et al., 2010)","plainTextFormattedCitation":"(N. Grois et al., 1995; Nicole Grois et al., 2010)","previouslyFormattedCitation":"(N. Grois et al., 1995; Nicole Grois et al., 2010)"},"properties":{"noteIndex":0},"schema":"https://github.com/citation-style-language/schema/raw/master/csl-citation.json"}</w:instrText>
      </w:r>
      <w:r w:rsidR="005A797C">
        <w:rPr>
          <w:rFonts w:asciiTheme="majorBidi" w:hAnsiTheme="majorBidi" w:cstheme="majorBidi"/>
        </w:rPr>
        <w:fldChar w:fldCharType="separate"/>
      </w:r>
      <w:r w:rsidR="005A797C" w:rsidRPr="005A797C">
        <w:rPr>
          <w:rFonts w:asciiTheme="majorBidi" w:hAnsiTheme="majorBidi" w:cstheme="majorBidi"/>
          <w:noProof/>
        </w:rPr>
        <w:t>(N. Grois et al., 1995; Nicole Grois et al., 2010)</w:t>
      </w:r>
      <w:r w:rsidR="005A797C">
        <w:rPr>
          <w:rFonts w:asciiTheme="majorBidi" w:hAnsiTheme="majorBidi" w:cstheme="majorBidi"/>
        </w:rPr>
        <w:fldChar w:fldCharType="end"/>
      </w:r>
      <w:r w:rsidRPr="00CC47BC">
        <w:rPr>
          <w:rFonts w:asciiTheme="majorBidi" w:hAnsiTheme="majorBidi" w:cstheme="majorBidi"/>
        </w:rPr>
        <w:t xml:space="preserve">. The clinical outcomes of LCH have improved markedly over the past </w:t>
      </w:r>
      <w:r>
        <w:rPr>
          <w:rFonts w:ascii="Times New Roman" w:eastAsia="Calibri" w:hAnsi="Times New Roman" w:cs="Times New Roman"/>
        </w:rPr>
        <w:t>few decades through cooperative randomized national and international clinical trials</w:t>
      </w:r>
      <w:r w:rsidR="005A797C">
        <w:rPr>
          <w:rFonts w:asciiTheme="majorBidi" w:hAnsiTheme="majorBidi" w:cstheme="majorBidi"/>
        </w:rPr>
        <w:t xml:space="preserve"> </w:t>
      </w:r>
      <w:r w:rsidR="005A797C">
        <w:rPr>
          <w:rFonts w:asciiTheme="majorBidi" w:hAnsiTheme="majorBidi" w:cstheme="majorBidi"/>
        </w:rPr>
        <w:fldChar w:fldCharType="begin" w:fldLock="1"/>
      </w:r>
      <w:r w:rsidR="005A797C">
        <w:rPr>
          <w:rFonts w:asciiTheme="majorBidi" w:hAnsiTheme="majorBidi" w:cstheme="majorBidi"/>
        </w:rPr>
        <w:instrText>ADDIN CSL_CITATION {"citationItems":[{"id":"ITEM-1","itemData":{"DOI":"10.1054/bjoc.2000.1313","ISSN":"00070920","PMID":"10917558","abstract":"The Northern Region Young Persons' Malignant Disease Registry records information on young people under 25 years old diagnosed with cancer in the Northern Region of England. Incidence and survival rates were calculated for children and young adults diagnosed with cancer between 1968 and 1995. There were 2099 (M:F 1.28:1) children (age 0-14 years) and 2217 (M:F 1.23:1) young adults (15-24 years) diagnosed with a first cancer between 1968 and 1995. The age-standardized rate (ASR) for childhood cancer was 121 per million 0 to 14 year-olds per year. For young adults the ASR was 175 per million 15 to 24 year-olds, per year. Incidence of childhood cancer increased over time at a rate of 12 extra cases per million children, per decade (P &lt; 0.001). In young adults incidence rates increased by 16 extra cases per million 15 to 24 year-olds, per decade (P &lt; 0.001). For childhood cancer 5-year survival was 42% for those diagnosed 1968-1977, 57% for 1978-1987 and 71% (95% CI 67-75) for 1988-1995. Survival for young adults over the three periods was 45%, 62% and 73% (95% CI 70-78) respectively. The cumulative risk of developing cancer before the age of 25 is 1 in 285. Over the 28-year period there were significant improvements in survival and modest increases in incidence in both children and young adults. (C) 2000 Cancer Research Campaign.","author":[{"dropping-particle":"","family":"Cotterill","given":"S. J.","non-dropping-particle":"","parse-names":false,"suffix":""},{"dropping-particle":"","family":"Parker","given":"L.","non-dropping-particle":"","parse-names":false,"suffix":""},{"dropping-particle":"","family":"Malcolm","given":"A. J.","non-dropping-particle":"","parse-names":false,"suffix":""},{"dropping-particle":"","family":"Reid","given":"M.","non-dropping-particle":"","parse-names":false,"suffix":""},{"dropping-particle":"","family":"More","given":"L.","non-dropping-particle":"","parse-names":false,"suffix":""},{"dropping-particle":"","family":"Craft","given":"A. W.","non-dropping-particle":"","parse-names":false,"suffix":""}],"container-title":"British Journal of Cancer","id":"ITEM-1","issue":"3","issued":{"date-parts":[["2000"]]},"page":"397-403","title":"Incidence and survival for cancer in children and young adults in the North of England, 1968-1995: A report from the Northern Region Young Persons' Malignant Disease Registry","type":"article-journal","volume":"83"},"uris":["http://www.mendeley.com/documents/?uuid=2c4f1895-d9ce-4671-8481-0e65807a0be1"]}],"mendeley":{"formattedCitation":"(Cotterill et al., 2000)","plainTextFormattedCitation":"(Cotterill et al., 2000)","previouslyFormattedCitation":"(Cotterill et al., 2000)"},"properties":{"noteIndex":0},"schema":"https://github.com/citation-style-language/schema/raw/master/csl-citation.json"}</w:instrText>
      </w:r>
      <w:r w:rsidR="005A797C">
        <w:rPr>
          <w:rFonts w:asciiTheme="majorBidi" w:hAnsiTheme="majorBidi" w:cstheme="majorBidi"/>
        </w:rPr>
        <w:fldChar w:fldCharType="separate"/>
      </w:r>
      <w:r w:rsidR="005A797C" w:rsidRPr="005A797C">
        <w:rPr>
          <w:rFonts w:asciiTheme="majorBidi" w:hAnsiTheme="majorBidi" w:cstheme="majorBidi"/>
          <w:noProof/>
        </w:rPr>
        <w:t>(Cotterill et al., 2000)</w:t>
      </w:r>
      <w:r w:rsidR="005A797C">
        <w:rPr>
          <w:rFonts w:asciiTheme="majorBidi" w:hAnsiTheme="majorBidi" w:cstheme="majorBidi"/>
        </w:rPr>
        <w:fldChar w:fldCharType="end"/>
      </w:r>
      <w:r w:rsidRPr="00CC47BC">
        <w:rPr>
          <w:rFonts w:asciiTheme="majorBidi" w:hAnsiTheme="majorBidi" w:cstheme="majorBidi"/>
        </w:rPr>
        <w:t xml:space="preserve">. In the current study, the overall survival was 93.9% and was comparable in patients with multisystem </w:t>
      </w:r>
      <w:r>
        <w:rPr>
          <w:rFonts w:ascii="Times New Roman" w:eastAsia="Calibri" w:hAnsi="Times New Roman" w:cs="Times New Roman"/>
        </w:rPr>
        <w:t xml:space="preserve">involvement compared to those with single system involvement (85.7% versus 100%, respectively, p=0.168). </w:t>
      </w:r>
      <w:r w:rsidRPr="00CC47BC">
        <w:rPr>
          <w:rFonts w:asciiTheme="majorBidi" w:hAnsiTheme="majorBidi" w:cstheme="majorBidi"/>
        </w:rPr>
        <w:t xml:space="preserve">Excellent survival rate (100%) was observed in </w:t>
      </w:r>
      <w:r>
        <w:rPr>
          <w:rFonts w:ascii="Times New Roman" w:eastAsia="Calibri" w:hAnsi="Times New Roman" w:cs="Times New Roman"/>
        </w:rPr>
        <w:t xml:space="preserve">the SSD group. However, the probability of EFS at 16 years </w:t>
      </w:r>
      <w:r w:rsidRPr="00CC47BC">
        <w:rPr>
          <w:rFonts w:asciiTheme="majorBidi" w:hAnsiTheme="majorBidi" w:cstheme="majorBidi"/>
        </w:rPr>
        <w:t>in this group of patients (50%) showed some predilection for disease relapse. Reactivation is a potential challenge encountered in the management of LCH. In our study, recurrence occurred in nearly one-third of the patients</w:t>
      </w:r>
      <w:r>
        <w:rPr>
          <w:rFonts w:ascii="Times New Roman" w:eastAsia="Calibri" w:hAnsi="Times New Roman" w:cs="Times New Roman"/>
        </w:rPr>
        <w:t xml:space="preserve">; however, </w:t>
      </w:r>
      <w:r w:rsidRPr="00CC47BC">
        <w:rPr>
          <w:rFonts w:asciiTheme="majorBidi" w:hAnsiTheme="majorBidi" w:cstheme="majorBidi"/>
        </w:rPr>
        <w:t xml:space="preserve">the majority attained remission after second-line therapies. The two patients who received treatment for six months had </w:t>
      </w:r>
      <w:r>
        <w:rPr>
          <w:rFonts w:ascii="Times New Roman" w:eastAsia="Calibri" w:hAnsi="Times New Roman" w:cs="Times New Roman"/>
        </w:rPr>
        <w:t>a shorter duration of CR, emphasizing the importance of a prolonged duration of treatment course; they responded to second</w:t>
      </w:r>
      <w:r w:rsidRPr="00CC47BC">
        <w:rPr>
          <w:rFonts w:asciiTheme="majorBidi" w:hAnsiTheme="majorBidi" w:cstheme="majorBidi"/>
        </w:rPr>
        <w:t xml:space="preserve">-line therapies and survived. As reported by others, recurrence is not a predictive factor of </w:t>
      </w:r>
      <w:r>
        <w:rPr>
          <w:rFonts w:ascii="Times New Roman" w:eastAsia="Calibri" w:hAnsi="Times New Roman" w:cs="Times New Roman"/>
        </w:rPr>
        <w:t>the worst outcome</w:t>
      </w:r>
      <w:r w:rsidR="005A797C">
        <w:rPr>
          <w:rFonts w:asciiTheme="majorBidi" w:hAnsiTheme="majorBidi" w:cstheme="majorBidi"/>
        </w:rPr>
        <w:t xml:space="preserve"> </w:t>
      </w:r>
      <w:r w:rsidR="005A797C">
        <w:rPr>
          <w:rFonts w:asciiTheme="majorBidi" w:hAnsiTheme="majorBidi" w:cstheme="majorBidi"/>
        </w:rPr>
        <w:fldChar w:fldCharType="begin" w:fldLock="1"/>
      </w:r>
      <w:r w:rsidR="005A797C">
        <w:rPr>
          <w:rFonts w:asciiTheme="majorBidi" w:hAnsiTheme="majorBidi" w:cstheme="majorBidi"/>
        </w:rPr>
        <w:instrText>ADDIN CSL_CITATION {"citationItems":[{"id":"ITEM-1","itemData":{"DOI":"10.1002/mpo.2950230203","ISSN":"1096911X","PMID":"8202045","abstract":"Treatment of Langerhans cell histiocytosis (LCH) remains problematic. To test the hypothesis that rapid initiation and longterm continuation of chemotherapy can improve survival and reduce recurrence and late consequences of disseminated LCH, we have completed a prospective clinical trial (DAL HX‐83). One hundred six newly diagnosed patients were stratified into three risk groups (A: multifocal bone disease [n = 28]; B: soft tissue involvement without organ dysfunction [n = 57]; C: organ dysfunction [n = 21]). All patients received an identical initial 6‐week treatment (etoposide [VP‐16], prednisone, and vinblastine), and continuation treatment for 1 year, slightly adapted according to stratification at diagnosis. It included oral 6‐mercaptopurine and eight pulses of vinblastine and prednisone for all patients, plus VP‐16 in group B and VP‐16 and methotrexate in group C. Eighty‐nine percent and 91% of patients in groups A and B and 67% of the most severely affected group C, achieved complete resolution of disease. The speed of resolution was rapid (median 4 months) and independent of disease severity. The frequency of recurrence after initial resolution was low (12%, 23%, and 42% in groups A, B, and C); overall fully 77% of patients have remained free of recurrence. Permanent consequences developed after diagnosis in 20% of the patients. Diabetes insipidus after initiation of treatment occurred in only 10% of patients. Mortality (9%) was limited to patients of groups B (two patients) and C (eight patients). Finally, among the 106 patients treated by DAL HX‐83 none have developed a malignancy (median follow‐up 6 years, 9 months). The shorter duration of active disease, low rate of recurrence and permanent consequences, and improved survival among patients with poor prognosis support the strategy of rapid initiation of a predefined prolonged treatment upon the diagnosis of disseminated LCH. © 1994 Wiley‐Liss, Inc. Copyright © 1994 Wiley‐Liss, Inc., A Wiley Company","author":[{"dropping-particle":"","family":"Gadner","given":"Helmut","non-dropping-particle":"","parse-names":false,"suffix":""},{"dropping-particle":"","family":"Heitger","given":"Andreas","non-dropping-particle":"","parse-names":false,"suffix":""},{"dropping-particle":"","family":"Grois","given":"Nicole","non-dropping-particle":"","parse-names":false,"suffix":""},{"dropping-particle":"","family":"Gatterer‐Menz","given":"Irmgard","non-dropping-particle":"","parse-names":false,"suffix":""},{"dropping-particle":"","family":"Ladisch","given":"Stephan","non-dropping-particle":"","parse-names":false,"suffix":""}],"container-title":"Medical and Pediatric Oncology","id":"ITEM-1","issue":"2","issued":{"date-parts":[["1994"]]},"page":"72-80","title":"Treatment strategy for disseminated langerhans cell histiocytosis","type":"article-journal","volume":"23"},"uris":["http://www.mendeley.com/documents/?uuid=5bf0d6eb-909d-4ba2-81b5-893719611c63"]}],"mendeley":{"formattedCitation":"(Gadner et al., 1994)","plainTextFormattedCitation":"(Gadner et al., 1994)","previouslyFormattedCitation":"(Gadner et al., 1994)"},"properties":{"noteIndex":0},"schema":"https://github.com/citation-style-language/schema/raw/master/csl-citation.json"}</w:instrText>
      </w:r>
      <w:r w:rsidR="005A797C">
        <w:rPr>
          <w:rFonts w:asciiTheme="majorBidi" w:hAnsiTheme="majorBidi" w:cstheme="majorBidi"/>
        </w:rPr>
        <w:fldChar w:fldCharType="separate"/>
      </w:r>
      <w:r w:rsidR="005A797C" w:rsidRPr="005A797C">
        <w:rPr>
          <w:rFonts w:asciiTheme="majorBidi" w:hAnsiTheme="majorBidi" w:cstheme="majorBidi"/>
          <w:noProof/>
        </w:rPr>
        <w:t>(Gadner et al., 1994)</w:t>
      </w:r>
      <w:r w:rsidR="005A797C">
        <w:rPr>
          <w:rFonts w:asciiTheme="majorBidi" w:hAnsiTheme="majorBidi" w:cstheme="majorBidi"/>
        </w:rPr>
        <w:fldChar w:fldCharType="end"/>
      </w:r>
      <w:r w:rsidRPr="00CC47BC">
        <w:rPr>
          <w:rFonts w:asciiTheme="majorBidi" w:hAnsiTheme="majorBidi" w:cstheme="majorBidi"/>
        </w:rPr>
        <w:t>. Among those patients with single system disease, only three (23%) had one reactivation episode</w:t>
      </w:r>
      <w:r>
        <w:rPr>
          <w:rFonts w:ascii="Times New Roman" w:eastAsia="Calibri" w:hAnsi="Times New Roman" w:cs="Times New Roman"/>
        </w:rPr>
        <w:t>, which is comparable to other repo</w:t>
      </w:r>
      <w:r w:rsidRPr="00CC47BC">
        <w:rPr>
          <w:rFonts w:asciiTheme="majorBidi" w:hAnsiTheme="majorBidi" w:cstheme="majorBidi"/>
        </w:rPr>
        <w:t>rted studies</w:t>
      </w:r>
      <w:r w:rsidR="005A797C">
        <w:rPr>
          <w:rFonts w:asciiTheme="majorBidi" w:hAnsiTheme="majorBidi" w:cstheme="majorBidi"/>
        </w:rPr>
        <w:t xml:space="preserve"> </w:t>
      </w:r>
      <w:r w:rsidR="005A797C">
        <w:rPr>
          <w:rFonts w:asciiTheme="majorBidi" w:hAnsiTheme="majorBidi" w:cstheme="majorBidi"/>
        </w:rPr>
        <w:fldChar w:fldCharType="begin" w:fldLock="1"/>
      </w:r>
      <w:r w:rsidR="005A797C">
        <w:rPr>
          <w:rFonts w:asciiTheme="majorBidi" w:hAnsiTheme="majorBidi" w:cstheme="majorBidi"/>
        </w:rPr>
        <w:instrText>ADDIN CSL_CITATION {"citationItems":[{"id":"ITEM-1","itemData":{"DOI":"10.1002/mpo.2950240407","ISSN":"1096911X","PMID":"7700170","abstract":"Diabetes insipidus (DI) in Langerhans cell histiocytosis (LCH) is a common complication of unclear etiology. The incidence varies among different publications from 15% to 50%. In the prospective DAL‐HX 83 study, 19 out of 199 patients (9.5%) registered with newly diagnosed LCH were diagnosed to have DI. All patients were stratified according to uniform criteria. One hundred and six patients with disseminated disease were treated with standardized polychemotherapy promptly after diagnosis. At the time of diagnosis of LCH, DI was already established in 8 out of 199 patients (4%). After diagnosis, DI occurred in only one out of the remaining 91 patients with localized disease (1%) and in 10 out of 100 remaining patients with disseminated disease (10%). In 8 patients, the onset of DI was associated with other signs of active LCH. The cumulative risk to develop DI after a median observation time of 5 years 3 months was 11%. Retrospective analysis of clinical features revealed multisystem involvement, skull and orbital lesions, and in particular intracranial extension from osseous lesions to constitute risk factors for DI. Magnetic resonance imaging studies (MRI) were available in 12 patients and showed abnormalities of the pituitary region in 10 children. In none of the patients with established DI was it reversed or ameliorated by any treatment. However, the rapid institution of systemic chemotherapy for disseminated disease seems to prevent the occurrence of DI and may be responsible for the low frequency of DI in the DAL‐HX 83 study. © 1995 Wi1ey‐Liss Inc. Copyright © 1995 Wiley‐Liss, Inc., A Wiley Company","author":[{"dropping-particle":"","family":"Grois","given":"N.","non-dropping-particle":"","parse-names":false,"suffix":""},{"dropping-particle":"","family":"Flucher‐Wolfram","given":"B.","non-dropping-particle":"","parse-names":false,"suffix":""},{"dropping-particle":"","family":"Heitger","given":"A.","non-dropping-particle":"","parse-names":false,"suffix":""},{"dropping-particle":"","family":"Mostbeck","given":"G. H.","non-dropping-particle":"","parse-names":false,"suffix":""},{"dropping-particle":"","family":"Hofmann","given":"J.","non-dropping-particle":"","parse-names":false,"suffix":""},{"dropping-particle":"","family":"Gadner","given":"H.","non-dropping-particle":"","parse-names":false,"suffix":""}],"container-title":"Medical and Pediatric Oncology","id":"ITEM-1","issue":"4","issued":{"date-parts":[["1995"]]},"page":"248-56","title":"Diabetes insipidus in langerhans cell histiocytosi: Results from the DAL‐HX 83 study","type":"article-journal","volume":"24"},"uris":["http://www.mendeley.com/documents/?uuid=b7679e73-c82d-4db6-a3e5-dc1418ca9c3c"]},{"id":"ITEM-2","itemData":{"DOI":"10.1002/mpo.1178","ISSN":"00981532","PMID":"11496348","abstract":"Background. Single-system (SS) disease is the most common presentation in Langerhans cell histiocytosis (LCH) with a heterogenous clinical picture and course. Mostly bone and rarely skin or lymph nodes are involved. Procedure. One hundred and seventy patients with SS-LCH were registered in the DAL-HX 83/90 studies. They were diagnosed according to uniform diagnostic criteria and followed by a standardised schedule. Results. Single bone lesions were most common (68%), followed by multiple bone lesions (19%), isolated skin disease (11%), and isolated lymph node involvement (4 patients). In the detection of bone lesions radiographic skeletal survey proved to be superior to bone scan (97% vs. 82%). Treatment comprised surgery, irradiation and local instillation of steroids, and standardised chemotherapy for multifocal bone disease. After initial therapy 81% of the patients remained disease free. Reactivations restricted to the skeleton occurred in 18% of both unifocal and multifocal bone disease. Two skin patients had a chronic course. Fatality occured only in one infant with skin disease who progressed to multi-system disease. Twenty-five percent of all patients developed permanent consequences, which were already present at diagnosis in about half of these patients and comprised mainly orthopedic problems related to lesional sites. Diabetes insipidus occurred in 3% and anterior pituitary dysfunction in 2% of the patients. Conclusions. The course in SS-LCH was benign. In bone disease reactivations remained restricted to the skeleton and did not influence survival. However, reactivations had an impact on morbidity, as permanent consequences were mostly related to the site of disease activity. © 2001 Wiley-Liss, Inc.","author":[{"dropping-particle":"","family":"Titgemeyer","given":"Carola","non-dropping-particle":"","parse-names":false,"suffix":""},{"dropping-particle":"","family":"Grois","given":"Nicole","non-dropping-particle":"","parse-names":false,"suffix":""},{"dropping-particle":"","family":"Minkov","given":"Milen","non-dropping-particle":"","parse-names":false,"suffix":""},{"dropping-particle":"","family":"Flucher-Wolfram","given":"Burgi","non-dropping-particle":"","parse-names":false,"suffix":""},{"dropping-particle":"","family":"Gatterer-Menz","given":"Irmgard","non-dropping-particle":"","parse-names":false,"suffix":""},{"dropping-particle":"","family":"Gadner","given":"Helmut","non-dropping-particle":"","parse-names":false,"suffix":""}],"container-title":"Medical and Pediatric Oncology","id":"ITEM-2","issue":"2","issued":{"date-parts":[["2001"]]},"page":"108-14","title":"Pattern and course of single-system disease in langerhans cell histiocytosis data from the DAL-HX 83- and 90-study","type":"article-journal","volume":"37"},"uris":["http://www.mendeley.com/documents/?uuid=660b23dd-02c5-43cb-8be6-974f123a0946"]},{"id":"ITEM-3","itemData":{"author":[{"dropping-particle":"","family":"Histiocyte Society","given":"","non-dropping-particle":"","parse-names":false,"suffix":""}],"container-title":"Viena: Histiocyte Society","id":"ITEM-3","issued":{"date-parts":[["2002"]]},"publisher-place":"Viena","title":"Treatment protocol of the Third International Study for Langerhans Cell Histiocytosis. 2nd ed.","type":"paper-conference"},"uris":["http://www.mendeley.com/documents/?uuid=1063064a-256a-4699-adc7-c6d4178723b4"]}],"mendeley":{"formattedCitation":"(N. Grois et al., 1995; Histiocyte Society, 2002; Titgemeyer et al., 2001)","plainTextFormattedCitation":"(N. Grois et al., 1995; Histiocyte Society, 2002; Titgemeyer et al., 2001)","previouslyFormattedCitation":"(N. Grois et al., 1995; Histiocyte Society, 2002; Titgemeyer et al., 2001)"},"properties":{"noteIndex":0},"schema":"https://github.com/citation-style-language/schema/raw/master/csl-citation.json"}</w:instrText>
      </w:r>
      <w:r w:rsidR="005A797C">
        <w:rPr>
          <w:rFonts w:asciiTheme="majorBidi" w:hAnsiTheme="majorBidi" w:cstheme="majorBidi"/>
        </w:rPr>
        <w:fldChar w:fldCharType="separate"/>
      </w:r>
      <w:r w:rsidR="005A797C" w:rsidRPr="005A797C">
        <w:rPr>
          <w:rFonts w:asciiTheme="majorBidi" w:hAnsiTheme="majorBidi" w:cstheme="majorBidi"/>
          <w:noProof/>
        </w:rPr>
        <w:t>(N. Grois et al., 1995; Histiocyte Society, 2002; Titgemeyer et al., 2001)</w:t>
      </w:r>
      <w:r w:rsidR="005A797C">
        <w:rPr>
          <w:rFonts w:asciiTheme="majorBidi" w:hAnsiTheme="majorBidi" w:cstheme="majorBidi"/>
        </w:rPr>
        <w:fldChar w:fldCharType="end"/>
      </w:r>
      <w:r w:rsidRPr="00CC47BC">
        <w:rPr>
          <w:rFonts w:asciiTheme="majorBidi" w:hAnsiTheme="majorBidi" w:cstheme="majorBidi"/>
        </w:rPr>
        <w:t xml:space="preserve">. No cases of secondary neoplasms were observed after </w:t>
      </w:r>
      <w:r>
        <w:rPr>
          <w:rFonts w:ascii="Times New Roman" w:eastAsia="Calibri" w:hAnsi="Times New Roman" w:cs="Times New Roman"/>
        </w:rPr>
        <w:t xml:space="preserve">a long follow-up </w:t>
      </w:r>
      <w:r w:rsidRPr="00CC47BC">
        <w:rPr>
          <w:rFonts w:asciiTheme="majorBidi" w:hAnsiTheme="majorBidi" w:cstheme="majorBidi"/>
        </w:rPr>
        <w:t xml:space="preserve">period, presumably </w:t>
      </w:r>
      <w:r>
        <w:rPr>
          <w:rFonts w:ascii="Times New Roman" w:eastAsia="Calibri" w:hAnsi="Times New Roman" w:cs="Times New Roman"/>
        </w:rPr>
        <w:t xml:space="preserve">after </w:t>
      </w:r>
      <w:r w:rsidRPr="00CC47BC">
        <w:rPr>
          <w:rFonts w:asciiTheme="majorBidi" w:hAnsiTheme="majorBidi" w:cstheme="majorBidi"/>
        </w:rPr>
        <w:t>the use of etoposide</w:t>
      </w:r>
      <w:r>
        <w:rPr>
          <w:rFonts w:ascii="Times New Roman" w:eastAsia="Calibri" w:hAnsi="Times New Roman" w:cs="Times New Roman"/>
        </w:rPr>
        <w:t xml:space="preserve">, as described in a few </w:t>
      </w:r>
      <w:r w:rsidRPr="00CC47BC">
        <w:rPr>
          <w:rFonts w:asciiTheme="majorBidi" w:hAnsiTheme="majorBidi" w:cstheme="majorBidi"/>
        </w:rPr>
        <w:t>cases</w:t>
      </w:r>
      <w:r w:rsidR="005A797C">
        <w:rPr>
          <w:rFonts w:asciiTheme="majorBidi" w:hAnsiTheme="majorBidi" w:cstheme="majorBidi"/>
        </w:rPr>
        <w:t xml:space="preserve"> </w:t>
      </w:r>
      <w:r w:rsidR="005A797C">
        <w:rPr>
          <w:rFonts w:asciiTheme="majorBidi" w:hAnsiTheme="majorBidi" w:cstheme="majorBidi"/>
        </w:rPr>
        <w:fldChar w:fldCharType="begin" w:fldLock="1"/>
      </w:r>
      <w:r w:rsidR="00AD2A84">
        <w:rPr>
          <w:rFonts w:asciiTheme="majorBidi" w:hAnsiTheme="majorBidi" w:cstheme="majorBidi"/>
        </w:rPr>
        <w:instrText>ADDIN CSL_CITATION {"citationItems":[{"id":"ITEM-1","itemData":{"author":[{"dropping-particle":"","family":"Histiocyte Society","given":"","non-dropping-particle":"","parse-names":false,"suffix":""}],"container-title":"Viena: Histiocyte Society","id":"ITEM-1","issued":{"date-parts":[["2002"]]},"publisher-place":"Viena","title":"Treatment protocol of the Third International Study for Langerhans Cell Histiocytosis. 2nd ed.","type":"paper-conference"},"uris":["http://www.mendeley.com/documents/?uuid=1063064a-256a-4699-adc7-c6d4178723b4"]}],"mendeley":{"formattedCitation":"(Histiocyte Society, 2002)","plainTextFormattedCitation":"(Histiocyte Society, 2002)","previouslyFormattedCitation":"(Histiocyte Society, 2002)"},"properties":{"noteIndex":0},"schema":"https://github.com/citation-style-language/schema/raw/master/csl-citation.json"}</w:instrText>
      </w:r>
      <w:r w:rsidR="005A797C">
        <w:rPr>
          <w:rFonts w:asciiTheme="majorBidi" w:hAnsiTheme="majorBidi" w:cstheme="majorBidi"/>
        </w:rPr>
        <w:fldChar w:fldCharType="separate"/>
      </w:r>
      <w:r w:rsidR="005A797C" w:rsidRPr="005A797C">
        <w:rPr>
          <w:rFonts w:asciiTheme="majorBidi" w:hAnsiTheme="majorBidi" w:cstheme="majorBidi"/>
          <w:noProof/>
        </w:rPr>
        <w:t>(Histiocyte Society, 2002)</w:t>
      </w:r>
      <w:r w:rsidR="005A797C">
        <w:rPr>
          <w:rFonts w:asciiTheme="majorBidi" w:hAnsiTheme="majorBidi" w:cstheme="majorBidi"/>
        </w:rPr>
        <w:fldChar w:fldCharType="end"/>
      </w:r>
      <w:r w:rsidRPr="00CC47BC">
        <w:rPr>
          <w:rFonts w:asciiTheme="majorBidi" w:hAnsiTheme="majorBidi" w:cstheme="majorBidi"/>
        </w:rPr>
        <w:t>.</w:t>
      </w:r>
    </w:p>
    <w:p w14:paraId="775000AA" w14:textId="77777777" w:rsidR="00CC47BC" w:rsidRPr="00C65603" w:rsidRDefault="005E46C3" w:rsidP="00CC47BC">
      <w:pPr>
        <w:rPr>
          <w:rFonts w:asciiTheme="majorBidi" w:hAnsiTheme="majorBidi" w:cstheme="majorBidi"/>
          <w:b/>
          <w:bCs/>
        </w:rPr>
      </w:pPr>
      <w:r w:rsidRPr="00C65603">
        <w:rPr>
          <w:rFonts w:asciiTheme="majorBidi" w:hAnsiTheme="majorBidi" w:cstheme="majorBidi"/>
          <w:b/>
          <w:bCs/>
        </w:rPr>
        <w:t xml:space="preserve">Conclusion: </w:t>
      </w:r>
    </w:p>
    <w:p w14:paraId="53367BC2" w14:textId="3EAB5E11" w:rsidR="00CC47BC" w:rsidRPr="00D66AF1" w:rsidRDefault="005E46C3" w:rsidP="00CC47BC">
      <w:pPr>
        <w:ind w:firstLine="720"/>
        <w:jc w:val="both"/>
        <w:rPr>
          <w:rFonts w:asciiTheme="majorBidi" w:hAnsiTheme="majorBidi" w:cstheme="majorBidi"/>
        </w:rPr>
      </w:pPr>
      <w:r>
        <w:rPr>
          <w:rFonts w:ascii="Times New Roman" w:eastAsia="Calibri" w:hAnsi="Times New Roman" w:cs="Times New Roman"/>
        </w:rPr>
        <w:t xml:space="preserve">The </w:t>
      </w:r>
      <w:r w:rsidRPr="00D66AF1">
        <w:rPr>
          <w:rFonts w:asciiTheme="majorBidi" w:hAnsiTheme="majorBidi" w:cstheme="majorBidi"/>
        </w:rPr>
        <w:t xml:space="preserve">excellent outcome of LCH is associated with single-system involvement and probably </w:t>
      </w:r>
      <w:r>
        <w:rPr>
          <w:rFonts w:ascii="Times New Roman" w:eastAsia="Calibri" w:hAnsi="Times New Roman" w:cs="Times New Roman"/>
        </w:rPr>
        <w:t>in the older age group. On the other hand, worse outcomes (reactivation</w:t>
      </w:r>
      <w:r w:rsidRPr="00D66AF1">
        <w:rPr>
          <w:rFonts w:asciiTheme="majorBidi" w:hAnsiTheme="majorBidi" w:cstheme="majorBidi"/>
        </w:rPr>
        <w:t xml:space="preserve"> or morality) of LCH are determined by multi-organ involvement</w:t>
      </w:r>
      <w:r>
        <w:rPr>
          <w:rFonts w:ascii="Times New Roman" w:eastAsia="Calibri" w:hAnsi="Times New Roman" w:cs="Times New Roman"/>
        </w:rPr>
        <w:t>, especially at younger ages</w:t>
      </w:r>
      <w:r w:rsidRPr="00D66AF1">
        <w:rPr>
          <w:rFonts w:asciiTheme="majorBidi" w:hAnsiTheme="majorBidi" w:cstheme="majorBidi"/>
        </w:rPr>
        <w:t xml:space="preserve"> (&lt; 24 months</w:t>
      </w:r>
      <w:r>
        <w:rPr>
          <w:rFonts w:ascii="Times New Roman" w:eastAsia="Calibri" w:hAnsi="Times New Roman" w:cs="Times New Roman"/>
        </w:rPr>
        <w:t>).  Single</w:t>
      </w:r>
      <w:r w:rsidRPr="00D66AF1">
        <w:rPr>
          <w:rFonts w:asciiTheme="majorBidi" w:hAnsiTheme="majorBidi" w:cstheme="majorBidi"/>
        </w:rPr>
        <w:t xml:space="preserve">-system LCH patients may benefit </w:t>
      </w:r>
      <w:r>
        <w:rPr>
          <w:rFonts w:ascii="Times New Roman" w:eastAsia="Calibri" w:hAnsi="Times New Roman" w:cs="Times New Roman"/>
        </w:rPr>
        <w:t>only from</w:t>
      </w:r>
      <w:r w:rsidRPr="00D66AF1">
        <w:rPr>
          <w:rFonts w:asciiTheme="majorBidi" w:hAnsiTheme="majorBidi" w:cstheme="majorBidi"/>
        </w:rPr>
        <w:t xml:space="preserve"> </w:t>
      </w:r>
      <w:r>
        <w:rPr>
          <w:rFonts w:ascii="Times New Roman" w:eastAsia="Calibri" w:hAnsi="Times New Roman" w:cs="Times New Roman"/>
        </w:rPr>
        <w:t xml:space="preserve">an observational approach. </w:t>
      </w:r>
      <w:r w:rsidRPr="00D66AF1">
        <w:rPr>
          <w:rFonts w:asciiTheme="majorBidi" w:hAnsiTheme="majorBidi" w:cstheme="majorBidi"/>
        </w:rPr>
        <w:t xml:space="preserve">A better understanding of </w:t>
      </w:r>
      <w:r>
        <w:rPr>
          <w:rFonts w:ascii="Times New Roman" w:eastAsia="Calibri" w:hAnsi="Times New Roman" w:cs="Times New Roman"/>
        </w:rPr>
        <w:t xml:space="preserve">the pathophysiology and genetic molecular background could lead to a striking transformation to novel therapy that warrants a prospective clinical trial to solve the </w:t>
      </w:r>
      <w:r>
        <w:rPr>
          <w:rFonts w:ascii="Times New Roman" w:eastAsia="Calibri" w:hAnsi="Times New Roman" w:cs="Times New Roman"/>
        </w:rPr>
        <w:lastRenderedPageBreak/>
        <w:t>challenges of high mortality in younger age groups with organ dysfunction</w:t>
      </w:r>
      <w:r w:rsidRPr="00D66AF1">
        <w:rPr>
          <w:rFonts w:asciiTheme="majorBidi" w:hAnsiTheme="majorBidi" w:cstheme="majorBidi"/>
        </w:rPr>
        <w:t>, high relapse rate</w:t>
      </w:r>
      <w:r>
        <w:rPr>
          <w:rFonts w:ascii="Times New Roman" w:eastAsia="Calibri" w:hAnsi="Times New Roman" w:cs="Times New Roman"/>
        </w:rPr>
        <w:t xml:space="preserve">s, especially among </w:t>
      </w:r>
      <w:r w:rsidRPr="00D66AF1">
        <w:rPr>
          <w:rFonts w:asciiTheme="majorBidi" w:hAnsiTheme="majorBidi" w:cstheme="majorBidi"/>
        </w:rPr>
        <w:t>MS-LCH patients</w:t>
      </w:r>
      <w:r>
        <w:rPr>
          <w:rFonts w:ascii="Times New Roman" w:eastAsia="Calibri" w:hAnsi="Times New Roman" w:cs="Times New Roman"/>
        </w:rPr>
        <w:t>, and disease</w:t>
      </w:r>
      <w:r w:rsidRPr="00D66AF1">
        <w:rPr>
          <w:rFonts w:asciiTheme="majorBidi" w:hAnsiTheme="majorBidi" w:cstheme="majorBidi"/>
        </w:rPr>
        <w:t xml:space="preserve">-associated complications. </w:t>
      </w:r>
    </w:p>
    <w:p w14:paraId="06CBBA46" w14:textId="77777777" w:rsidR="00CC47BC" w:rsidRPr="00BF3B46" w:rsidRDefault="005E46C3" w:rsidP="00CC47BC">
      <w:pPr>
        <w:spacing w:line="480" w:lineRule="auto"/>
        <w:jc w:val="both"/>
        <w:rPr>
          <w:rFonts w:asciiTheme="majorBidi" w:hAnsiTheme="majorBidi" w:cstheme="majorBidi"/>
          <w:b/>
          <w:bCs/>
          <w:iCs/>
        </w:rPr>
      </w:pPr>
      <w:r w:rsidRPr="00BF3B46">
        <w:rPr>
          <w:rFonts w:asciiTheme="majorBidi" w:hAnsiTheme="majorBidi" w:cstheme="majorBidi"/>
          <w:b/>
          <w:bCs/>
          <w:iCs/>
        </w:rPr>
        <w:t xml:space="preserve">Conflict of interest: </w:t>
      </w:r>
    </w:p>
    <w:p w14:paraId="50B5BC50" w14:textId="77777777" w:rsidR="00CC47BC" w:rsidRPr="00D66AF1" w:rsidRDefault="005E46C3" w:rsidP="00CC47BC">
      <w:pPr>
        <w:spacing w:line="480" w:lineRule="auto"/>
        <w:jc w:val="both"/>
        <w:rPr>
          <w:rFonts w:asciiTheme="majorBidi" w:hAnsiTheme="majorBidi" w:cstheme="majorBidi"/>
        </w:rPr>
      </w:pPr>
      <w:r w:rsidRPr="00D66AF1">
        <w:rPr>
          <w:rFonts w:asciiTheme="majorBidi" w:hAnsiTheme="majorBidi" w:cstheme="majorBidi"/>
        </w:rPr>
        <w:t>The authors declare that there is no conflict of interest.</w:t>
      </w:r>
    </w:p>
    <w:p w14:paraId="65E7590C" w14:textId="290094B4" w:rsidR="009D6AF6" w:rsidRDefault="005E46C3">
      <w:pPr>
        <w:rPr>
          <w:rFonts w:asciiTheme="majorBidi" w:hAnsiTheme="majorBidi" w:cstheme="majorBidi"/>
        </w:rPr>
      </w:pPr>
      <w:r>
        <w:rPr>
          <w:rFonts w:asciiTheme="majorBidi" w:hAnsiTheme="majorBidi" w:cstheme="majorBidi"/>
        </w:rPr>
        <w:br w:type="page"/>
      </w:r>
    </w:p>
    <w:p w14:paraId="16557DC2" w14:textId="618F692B" w:rsidR="00CC47BC" w:rsidRPr="00AD2A84" w:rsidRDefault="005E46C3" w:rsidP="00CC47BC">
      <w:pPr>
        <w:spacing w:after="120"/>
        <w:jc w:val="both"/>
        <w:rPr>
          <w:rFonts w:asciiTheme="majorBidi" w:hAnsiTheme="majorBidi" w:cstheme="majorBidi"/>
          <w:b/>
          <w:bCs/>
        </w:rPr>
      </w:pPr>
      <w:r w:rsidRPr="00AD2A84">
        <w:rPr>
          <w:rFonts w:asciiTheme="majorBidi" w:hAnsiTheme="majorBidi" w:cstheme="majorBidi"/>
          <w:b/>
          <w:bCs/>
        </w:rPr>
        <w:lastRenderedPageBreak/>
        <w:t>References</w:t>
      </w:r>
    </w:p>
    <w:p w14:paraId="5254CBD2" w14:textId="31F1B5F6"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heme="majorBidi" w:hAnsiTheme="majorBidi" w:cstheme="majorBidi"/>
        </w:rPr>
        <w:fldChar w:fldCharType="begin" w:fldLock="1"/>
      </w:r>
      <w:r w:rsidRPr="00EB62CC">
        <w:rPr>
          <w:rFonts w:asciiTheme="majorBidi" w:hAnsiTheme="majorBidi" w:cstheme="majorBidi"/>
        </w:rPr>
        <w:instrText xml:space="preserve">ADDIN Mendeley Bibliography CSL_BIBLIOGRAPHY </w:instrText>
      </w:r>
      <w:r w:rsidRPr="00EB62CC">
        <w:rPr>
          <w:rFonts w:asciiTheme="majorBidi" w:hAnsiTheme="majorBidi" w:cstheme="majorBidi"/>
        </w:rPr>
        <w:fldChar w:fldCharType="separate"/>
      </w:r>
      <w:bookmarkStart w:id="12" w:name="old_references"/>
      <w:bookmarkEnd w:id="12"/>
      <w:r w:rsidRPr="00EB62CC">
        <w:rPr>
          <w:rFonts w:ascii="Times New Roman" w:hAnsi="Times New Roman" w:cs="Times New Roman"/>
          <w:noProof/>
        </w:rPr>
        <w:t xml:space="preserve">Abla, O., Egeler, R. M., &amp; Weitzman, S. (2010). Langerhans cell histiocytosis: Current concepts and treatments. </w:t>
      </w:r>
      <w:r w:rsidRPr="00EB62CC">
        <w:rPr>
          <w:rFonts w:ascii="Times New Roman" w:hAnsi="Times New Roman" w:cs="Times New Roman"/>
          <w:i/>
          <w:iCs/>
          <w:noProof/>
        </w:rPr>
        <w:t>Cancer Treatment Reviews</w:t>
      </w:r>
      <w:r w:rsidRPr="00EB62CC">
        <w:rPr>
          <w:rFonts w:ascii="Times New Roman" w:hAnsi="Times New Roman" w:cs="Times New Roman"/>
          <w:noProof/>
        </w:rPr>
        <w:t xml:space="preserve">, </w:t>
      </w:r>
      <w:r w:rsidRPr="00EB62CC">
        <w:rPr>
          <w:rFonts w:ascii="Times New Roman" w:hAnsi="Times New Roman" w:cs="Times New Roman"/>
          <w:i/>
          <w:iCs/>
          <w:noProof/>
        </w:rPr>
        <w:t>36</w:t>
      </w:r>
      <w:r w:rsidRPr="00EB62CC">
        <w:rPr>
          <w:rFonts w:ascii="Times New Roman" w:hAnsi="Times New Roman" w:cs="Times New Roman"/>
          <w:noProof/>
        </w:rPr>
        <w:t xml:space="preserve">(4), 354–359. </w:t>
      </w:r>
    </w:p>
    <w:p w14:paraId="1A1C0EA9" w14:textId="5B1C1E7F"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Abla, O., &amp; Weitzman, S. (2015). Treatment of Langerhans cell histiocytosis: Role of BRAF/MAPK inhibition. </w:t>
      </w:r>
      <w:r w:rsidRPr="00EB62CC">
        <w:rPr>
          <w:rFonts w:ascii="Times New Roman" w:hAnsi="Times New Roman" w:cs="Times New Roman"/>
          <w:i/>
          <w:iCs/>
          <w:noProof/>
        </w:rPr>
        <w:t>Hematology (United States)</w:t>
      </w:r>
      <w:r w:rsidRPr="00EB62CC">
        <w:rPr>
          <w:rFonts w:ascii="Times New Roman" w:hAnsi="Times New Roman" w:cs="Times New Roman"/>
          <w:noProof/>
        </w:rPr>
        <w:t xml:space="preserve">, </w:t>
      </w:r>
      <w:r w:rsidRPr="00EB62CC">
        <w:rPr>
          <w:rFonts w:ascii="Times New Roman" w:hAnsi="Times New Roman" w:cs="Times New Roman"/>
          <w:i/>
          <w:iCs/>
          <w:noProof/>
        </w:rPr>
        <w:t>2015</w:t>
      </w:r>
      <w:r w:rsidRPr="00EB62CC">
        <w:rPr>
          <w:rFonts w:ascii="Times New Roman" w:hAnsi="Times New Roman" w:cs="Times New Roman"/>
          <w:noProof/>
        </w:rPr>
        <w:t xml:space="preserve">, 565–570. </w:t>
      </w:r>
    </w:p>
    <w:p w14:paraId="416B2BEE" w14:textId="77777777"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Al-Mulhim, I., Sabbah, R. S., &amp; Al-Akkad, S. (1991). Histiocytosis-X in Saudi children. </w:t>
      </w:r>
      <w:r w:rsidRPr="00EB62CC">
        <w:rPr>
          <w:rFonts w:ascii="Times New Roman" w:hAnsi="Times New Roman" w:cs="Times New Roman"/>
          <w:i/>
          <w:iCs/>
          <w:noProof/>
        </w:rPr>
        <w:t>Indian Journal of Cancer</w:t>
      </w:r>
      <w:r w:rsidRPr="00EB62CC">
        <w:rPr>
          <w:rFonts w:ascii="Times New Roman" w:hAnsi="Times New Roman" w:cs="Times New Roman"/>
          <w:noProof/>
        </w:rPr>
        <w:t xml:space="preserve">, </w:t>
      </w:r>
      <w:r w:rsidRPr="00EB62CC">
        <w:rPr>
          <w:rFonts w:ascii="Times New Roman" w:hAnsi="Times New Roman" w:cs="Times New Roman"/>
          <w:i/>
          <w:iCs/>
          <w:noProof/>
        </w:rPr>
        <w:t>28</w:t>
      </w:r>
      <w:r w:rsidRPr="00EB62CC">
        <w:rPr>
          <w:rFonts w:ascii="Times New Roman" w:hAnsi="Times New Roman" w:cs="Times New Roman"/>
          <w:noProof/>
        </w:rPr>
        <w:t>(2), 53–60.</w:t>
      </w:r>
    </w:p>
    <w:p w14:paraId="47812EB0" w14:textId="60CAD5C3"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Arico, M., &amp; Egeler, R. M. (1998). Clinical aspects of Langerhans cell histiocytosis. </w:t>
      </w:r>
      <w:r w:rsidRPr="00EB62CC">
        <w:rPr>
          <w:rFonts w:ascii="Times New Roman" w:hAnsi="Times New Roman" w:cs="Times New Roman"/>
          <w:i/>
          <w:iCs/>
          <w:noProof/>
        </w:rPr>
        <w:t>Hematology/Oncology Clinics of North America</w:t>
      </w:r>
      <w:r w:rsidRPr="00EB62CC">
        <w:rPr>
          <w:rFonts w:ascii="Times New Roman" w:hAnsi="Times New Roman" w:cs="Times New Roman"/>
          <w:noProof/>
        </w:rPr>
        <w:t xml:space="preserve">, </w:t>
      </w:r>
      <w:r w:rsidRPr="00EB62CC">
        <w:rPr>
          <w:rFonts w:ascii="Times New Roman" w:hAnsi="Times New Roman" w:cs="Times New Roman"/>
          <w:i/>
          <w:iCs/>
          <w:noProof/>
        </w:rPr>
        <w:t>12</w:t>
      </w:r>
      <w:r w:rsidRPr="00EB62CC">
        <w:rPr>
          <w:rFonts w:ascii="Times New Roman" w:hAnsi="Times New Roman" w:cs="Times New Roman"/>
          <w:noProof/>
        </w:rPr>
        <w:t xml:space="preserve">(2), 247–258. </w:t>
      </w:r>
    </w:p>
    <w:p w14:paraId="41E8FEFD" w14:textId="60777BB2"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Azouz, E. M., Saigal, G., Rodriguez, M. M., &amp; Podda, A. (2005). Langerhans’ cell histiocytosis: Pathology, imaging and treatment of skeletal involvement. </w:t>
      </w:r>
      <w:r w:rsidRPr="00EB62CC">
        <w:rPr>
          <w:rFonts w:ascii="Times New Roman" w:hAnsi="Times New Roman" w:cs="Times New Roman"/>
          <w:i/>
          <w:iCs/>
          <w:noProof/>
        </w:rPr>
        <w:t>Pediatric Radiology</w:t>
      </w:r>
      <w:r w:rsidRPr="00EB62CC">
        <w:rPr>
          <w:rFonts w:ascii="Times New Roman" w:hAnsi="Times New Roman" w:cs="Times New Roman"/>
          <w:noProof/>
        </w:rPr>
        <w:t xml:space="preserve">, </w:t>
      </w:r>
      <w:r w:rsidRPr="00EB62CC">
        <w:rPr>
          <w:rFonts w:ascii="Times New Roman" w:hAnsi="Times New Roman" w:cs="Times New Roman"/>
          <w:i/>
          <w:iCs/>
          <w:noProof/>
        </w:rPr>
        <w:t>35</w:t>
      </w:r>
      <w:r w:rsidRPr="00EB62CC">
        <w:rPr>
          <w:rFonts w:ascii="Times New Roman" w:hAnsi="Times New Roman" w:cs="Times New Roman"/>
          <w:noProof/>
        </w:rPr>
        <w:t>(2), 103–115.</w:t>
      </w:r>
    </w:p>
    <w:p w14:paraId="228AFCB7" w14:textId="62D13E0B"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Belgaumi, A. F., Pathan, G. Q., Siddiqui, K., Ali, A. A., Al-Fawaz, I., Al-Sweedan, S., Ayas, M., &amp; Al-Kofide, A. A. (2019). Incidence, clinical distribution, and patient characteristics of childhood cancer in Saudi Arabia: A population-based analysis. </w:t>
      </w:r>
      <w:r w:rsidRPr="00EB62CC">
        <w:rPr>
          <w:rFonts w:ascii="Times New Roman" w:hAnsi="Times New Roman" w:cs="Times New Roman"/>
          <w:i/>
          <w:iCs/>
          <w:noProof/>
        </w:rPr>
        <w:t>Pediatric Blood and Cancer</w:t>
      </w:r>
      <w:r w:rsidRPr="00EB62CC">
        <w:rPr>
          <w:rFonts w:ascii="Times New Roman" w:hAnsi="Times New Roman" w:cs="Times New Roman"/>
          <w:noProof/>
        </w:rPr>
        <w:t xml:space="preserve">, </w:t>
      </w:r>
      <w:r w:rsidRPr="00EB62CC">
        <w:rPr>
          <w:rFonts w:ascii="Times New Roman" w:hAnsi="Times New Roman" w:cs="Times New Roman"/>
          <w:i/>
          <w:iCs/>
          <w:noProof/>
        </w:rPr>
        <w:t>66</w:t>
      </w:r>
      <w:r w:rsidRPr="00EB62CC">
        <w:rPr>
          <w:rFonts w:ascii="Times New Roman" w:hAnsi="Times New Roman" w:cs="Times New Roman"/>
          <w:noProof/>
        </w:rPr>
        <w:t>(6), 53–60.</w:t>
      </w:r>
    </w:p>
    <w:p w14:paraId="490DB2ED" w14:textId="77777777"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Broadbent, V., Egeler, R. M., &amp; Nesbit, M. E. (1994). Langerhans cell histiocytosis - clinical and epidemiological aspects. </w:t>
      </w:r>
      <w:r w:rsidRPr="00EB62CC">
        <w:rPr>
          <w:rFonts w:ascii="Times New Roman" w:hAnsi="Times New Roman" w:cs="Times New Roman"/>
          <w:i/>
          <w:iCs/>
          <w:noProof/>
        </w:rPr>
        <w:t>British Journal of Cancer</w:t>
      </w:r>
      <w:r w:rsidRPr="00EB62CC">
        <w:rPr>
          <w:rFonts w:ascii="Times New Roman" w:hAnsi="Times New Roman" w:cs="Times New Roman"/>
          <w:noProof/>
        </w:rPr>
        <w:t xml:space="preserve">, </w:t>
      </w:r>
      <w:r w:rsidRPr="00EB62CC">
        <w:rPr>
          <w:rFonts w:ascii="Times New Roman" w:hAnsi="Times New Roman" w:cs="Times New Roman"/>
          <w:i/>
          <w:iCs/>
          <w:noProof/>
        </w:rPr>
        <w:t>33</w:t>
      </w:r>
      <w:r w:rsidRPr="00EB62CC">
        <w:rPr>
          <w:rFonts w:ascii="Times New Roman" w:hAnsi="Times New Roman" w:cs="Times New Roman"/>
          <w:noProof/>
        </w:rPr>
        <w:t>, S11-6.</w:t>
      </w:r>
    </w:p>
    <w:p w14:paraId="2D95FBA6" w14:textId="104618CC"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Cotterill, S. J., Parker, L., Malcolm, A. J., Reid, M., More, L., &amp; Craft, A. W. (2000). Incidence and survival for cancer in children and young adults in the North of England, 1968-1995: A report from the Northern Region Young Persons’ Malignant Disease Registry. </w:t>
      </w:r>
      <w:r w:rsidRPr="00EB62CC">
        <w:rPr>
          <w:rFonts w:ascii="Times New Roman" w:hAnsi="Times New Roman" w:cs="Times New Roman"/>
          <w:i/>
          <w:iCs/>
          <w:noProof/>
        </w:rPr>
        <w:t>British Journal of Cancer</w:t>
      </w:r>
      <w:r w:rsidRPr="00EB62CC">
        <w:rPr>
          <w:rFonts w:ascii="Times New Roman" w:hAnsi="Times New Roman" w:cs="Times New Roman"/>
          <w:noProof/>
        </w:rPr>
        <w:t xml:space="preserve">, </w:t>
      </w:r>
      <w:r w:rsidRPr="00EB62CC">
        <w:rPr>
          <w:rFonts w:ascii="Times New Roman" w:hAnsi="Times New Roman" w:cs="Times New Roman"/>
          <w:i/>
          <w:iCs/>
          <w:noProof/>
        </w:rPr>
        <w:t>83</w:t>
      </w:r>
      <w:r w:rsidRPr="00EB62CC">
        <w:rPr>
          <w:rFonts w:ascii="Times New Roman" w:hAnsi="Times New Roman" w:cs="Times New Roman"/>
          <w:noProof/>
        </w:rPr>
        <w:t xml:space="preserve">(3), 397–403. </w:t>
      </w:r>
    </w:p>
    <w:p w14:paraId="6DE3E911" w14:textId="6C31F3B1"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Del Río, L., Lassaletta, L., Martínez, R., Sarriá, M. J., &amp; Gavilán, J. (2007). Petrous bone Langerhans cell histiocytosis treated with radiosurgery. </w:t>
      </w:r>
      <w:r w:rsidRPr="00EB62CC">
        <w:rPr>
          <w:rFonts w:ascii="Times New Roman" w:hAnsi="Times New Roman" w:cs="Times New Roman"/>
          <w:i/>
          <w:iCs/>
          <w:noProof/>
        </w:rPr>
        <w:t>Stereotactic and Functional Neurosurgery</w:t>
      </w:r>
      <w:r w:rsidRPr="00EB62CC">
        <w:rPr>
          <w:rFonts w:ascii="Times New Roman" w:hAnsi="Times New Roman" w:cs="Times New Roman"/>
          <w:noProof/>
        </w:rPr>
        <w:t xml:space="preserve">, </w:t>
      </w:r>
      <w:r w:rsidRPr="00EB62CC">
        <w:rPr>
          <w:rFonts w:ascii="Times New Roman" w:hAnsi="Times New Roman" w:cs="Times New Roman"/>
          <w:i/>
          <w:iCs/>
          <w:noProof/>
        </w:rPr>
        <w:t>85</w:t>
      </w:r>
      <w:r w:rsidRPr="00EB62CC">
        <w:rPr>
          <w:rFonts w:ascii="Times New Roman" w:hAnsi="Times New Roman" w:cs="Times New Roman"/>
          <w:noProof/>
        </w:rPr>
        <w:t>(2–3), 129–131.</w:t>
      </w:r>
    </w:p>
    <w:p w14:paraId="5B71223E" w14:textId="535EC63C"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Donadieu, J. (1996). A multicentre retrospective survey of Langerhans’ cell histiocytosis: 348 cases observed between 1983 and 1993. </w:t>
      </w:r>
      <w:r w:rsidRPr="00EB62CC">
        <w:rPr>
          <w:rFonts w:ascii="Times New Roman" w:hAnsi="Times New Roman" w:cs="Times New Roman"/>
          <w:i/>
          <w:iCs/>
          <w:noProof/>
        </w:rPr>
        <w:t>Archives of Disease in Childhood</w:t>
      </w:r>
      <w:r w:rsidRPr="00EB62CC">
        <w:rPr>
          <w:rFonts w:ascii="Times New Roman" w:hAnsi="Times New Roman" w:cs="Times New Roman"/>
          <w:noProof/>
        </w:rPr>
        <w:t xml:space="preserve">, </w:t>
      </w:r>
      <w:r w:rsidRPr="00EB62CC">
        <w:rPr>
          <w:rFonts w:ascii="Times New Roman" w:hAnsi="Times New Roman" w:cs="Times New Roman"/>
          <w:i/>
          <w:iCs/>
          <w:noProof/>
        </w:rPr>
        <w:t>75</w:t>
      </w:r>
      <w:r w:rsidRPr="00EB62CC">
        <w:rPr>
          <w:rFonts w:ascii="Times New Roman" w:hAnsi="Times New Roman" w:cs="Times New Roman"/>
          <w:noProof/>
        </w:rPr>
        <w:t xml:space="preserve">(1), 17–24. </w:t>
      </w:r>
    </w:p>
    <w:p w14:paraId="1E3B821C" w14:textId="75E7CC3A"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Gadner, H., Grois, N., Arico, M., Broadbent, V., Ceci, A., Jakobson, A., Komp, D., Michaelis, J., Nicholson, S., Pötschger, U., Pritchard, J., &amp; Ladisch, S. (2001). A randomized trial of treatment for multisystem Langerhans’ cell histiocytosis. </w:t>
      </w:r>
      <w:r w:rsidRPr="00EB62CC">
        <w:rPr>
          <w:rFonts w:ascii="Times New Roman" w:hAnsi="Times New Roman" w:cs="Times New Roman"/>
          <w:i/>
          <w:iCs/>
          <w:noProof/>
        </w:rPr>
        <w:t>Journal of Pediatrics</w:t>
      </w:r>
      <w:r w:rsidRPr="00EB62CC">
        <w:rPr>
          <w:rFonts w:ascii="Times New Roman" w:hAnsi="Times New Roman" w:cs="Times New Roman"/>
          <w:noProof/>
        </w:rPr>
        <w:t xml:space="preserve">, </w:t>
      </w:r>
      <w:r w:rsidRPr="00EB62CC">
        <w:rPr>
          <w:rFonts w:ascii="Times New Roman" w:hAnsi="Times New Roman" w:cs="Times New Roman"/>
          <w:i/>
          <w:iCs/>
          <w:noProof/>
        </w:rPr>
        <w:t>138</w:t>
      </w:r>
      <w:r w:rsidRPr="00EB62CC">
        <w:rPr>
          <w:rFonts w:ascii="Times New Roman" w:hAnsi="Times New Roman" w:cs="Times New Roman"/>
          <w:noProof/>
        </w:rPr>
        <w:t xml:space="preserve">(5), 728–734. </w:t>
      </w:r>
    </w:p>
    <w:p w14:paraId="6BFB40FD" w14:textId="11897763"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Gadner, H., Heitger, A., Grois, N., Gatterer‐Menz, I., &amp; Ladisch, S. (1994). Treatment strategy for disseminated langerhans cell histiocytosis. </w:t>
      </w:r>
      <w:r w:rsidRPr="00EB62CC">
        <w:rPr>
          <w:rFonts w:ascii="Times New Roman" w:hAnsi="Times New Roman" w:cs="Times New Roman"/>
          <w:i/>
          <w:iCs/>
          <w:noProof/>
        </w:rPr>
        <w:t>Medical and Pediatric Oncology</w:t>
      </w:r>
      <w:r w:rsidRPr="00EB62CC">
        <w:rPr>
          <w:rFonts w:ascii="Times New Roman" w:hAnsi="Times New Roman" w:cs="Times New Roman"/>
          <w:noProof/>
        </w:rPr>
        <w:t xml:space="preserve">, </w:t>
      </w:r>
      <w:r w:rsidRPr="00EB62CC">
        <w:rPr>
          <w:rFonts w:ascii="Times New Roman" w:hAnsi="Times New Roman" w:cs="Times New Roman"/>
          <w:i/>
          <w:iCs/>
          <w:noProof/>
        </w:rPr>
        <w:t>23</w:t>
      </w:r>
      <w:r w:rsidRPr="00EB62CC">
        <w:rPr>
          <w:rFonts w:ascii="Times New Roman" w:hAnsi="Times New Roman" w:cs="Times New Roman"/>
          <w:noProof/>
        </w:rPr>
        <w:t>(2), 72–80.</w:t>
      </w:r>
    </w:p>
    <w:p w14:paraId="20F91B6E" w14:textId="61B5C15E"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Grois, N., Flucher‐Wolfram, B., Heitger, A., Mostbeck, G. H., Hofmann, J., &amp; Gadner, H. (1995). Diabetes insipidus in langerhans cell histiocytosi: Results from the DAL‐HX 83 study. </w:t>
      </w:r>
      <w:r w:rsidRPr="00EB62CC">
        <w:rPr>
          <w:rFonts w:ascii="Times New Roman" w:hAnsi="Times New Roman" w:cs="Times New Roman"/>
          <w:i/>
          <w:iCs/>
          <w:noProof/>
        </w:rPr>
        <w:t>Medical and Pediatric Oncology</w:t>
      </w:r>
      <w:r w:rsidRPr="00EB62CC">
        <w:rPr>
          <w:rFonts w:ascii="Times New Roman" w:hAnsi="Times New Roman" w:cs="Times New Roman"/>
          <w:noProof/>
        </w:rPr>
        <w:t xml:space="preserve">, </w:t>
      </w:r>
      <w:r w:rsidRPr="00EB62CC">
        <w:rPr>
          <w:rFonts w:ascii="Times New Roman" w:hAnsi="Times New Roman" w:cs="Times New Roman"/>
          <w:i/>
          <w:iCs/>
          <w:noProof/>
        </w:rPr>
        <w:t>24</w:t>
      </w:r>
      <w:r w:rsidRPr="00EB62CC">
        <w:rPr>
          <w:rFonts w:ascii="Times New Roman" w:hAnsi="Times New Roman" w:cs="Times New Roman"/>
          <w:noProof/>
        </w:rPr>
        <w:t xml:space="preserve">(4), 248–256. </w:t>
      </w:r>
    </w:p>
    <w:p w14:paraId="0F9E05A2" w14:textId="14C81A07"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Grois, Nicole, Fahrner, B., Arceci, R. J., Henter, J. I., McClain, K., Lassmann, H., Nanduri, V., Prosch, H., &amp; Prayer, D. (2010). Central Nervous System Disease in Langerhans Cell Histiocytosis. </w:t>
      </w:r>
      <w:r w:rsidRPr="00EB62CC">
        <w:rPr>
          <w:rFonts w:ascii="Times New Roman" w:hAnsi="Times New Roman" w:cs="Times New Roman"/>
          <w:i/>
          <w:iCs/>
          <w:noProof/>
        </w:rPr>
        <w:t>Journal of Pediatrics</w:t>
      </w:r>
      <w:r w:rsidRPr="00EB62CC">
        <w:rPr>
          <w:rFonts w:ascii="Times New Roman" w:hAnsi="Times New Roman" w:cs="Times New Roman"/>
          <w:noProof/>
        </w:rPr>
        <w:t xml:space="preserve">, </w:t>
      </w:r>
      <w:r w:rsidRPr="00EB62CC">
        <w:rPr>
          <w:rFonts w:ascii="Times New Roman" w:hAnsi="Times New Roman" w:cs="Times New Roman"/>
          <w:i/>
          <w:iCs/>
          <w:noProof/>
        </w:rPr>
        <w:t>12</w:t>
      </w:r>
      <w:r w:rsidRPr="00EB62CC">
        <w:rPr>
          <w:rFonts w:ascii="Times New Roman" w:hAnsi="Times New Roman" w:cs="Times New Roman"/>
          <w:noProof/>
        </w:rPr>
        <w:t xml:space="preserve">(2), 287–305. </w:t>
      </w:r>
    </w:p>
    <w:p w14:paraId="3C4AD3F2" w14:textId="5B9B4114"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Hamre, M., Hedberg, J., Buckley, J., Bhatia, S., Finlay, J., Meadows, A., Nesbit, M., Smithson, A., &amp; Robison, L. (1997). Langerhans cell histiocytosis: An exploratory epidemiologic study of 177 cases. </w:t>
      </w:r>
      <w:r w:rsidRPr="00EB62CC">
        <w:rPr>
          <w:rFonts w:ascii="Times New Roman" w:hAnsi="Times New Roman" w:cs="Times New Roman"/>
          <w:i/>
          <w:iCs/>
          <w:noProof/>
        </w:rPr>
        <w:t>Medical and Pediatric Oncology</w:t>
      </w:r>
      <w:r w:rsidRPr="00EB62CC">
        <w:rPr>
          <w:rFonts w:ascii="Times New Roman" w:hAnsi="Times New Roman" w:cs="Times New Roman"/>
          <w:noProof/>
        </w:rPr>
        <w:t xml:space="preserve">, </w:t>
      </w:r>
      <w:r w:rsidRPr="00EB62CC">
        <w:rPr>
          <w:rFonts w:ascii="Times New Roman" w:hAnsi="Times New Roman" w:cs="Times New Roman"/>
          <w:i/>
          <w:iCs/>
          <w:noProof/>
        </w:rPr>
        <w:t>28</w:t>
      </w:r>
      <w:r w:rsidRPr="00EB62CC">
        <w:rPr>
          <w:rFonts w:ascii="Times New Roman" w:hAnsi="Times New Roman" w:cs="Times New Roman"/>
          <w:noProof/>
        </w:rPr>
        <w:t xml:space="preserve">(2), 92–97. </w:t>
      </w:r>
    </w:p>
    <w:p w14:paraId="1DB1B851" w14:textId="77777777"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lastRenderedPageBreak/>
        <w:t xml:space="preserve">Histiocyte Society. (2002). Treatment protocol of the Third International Study for Langerhans Cell Histiocytosis. 2nd ed. </w:t>
      </w:r>
      <w:r w:rsidRPr="00EB62CC">
        <w:rPr>
          <w:rFonts w:ascii="Times New Roman" w:hAnsi="Times New Roman" w:cs="Times New Roman"/>
          <w:i/>
          <w:iCs/>
          <w:noProof/>
        </w:rPr>
        <w:t>Viena: Histiocyte Society</w:t>
      </w:r>
      <w:r w:rsidRPr="00EB62CC">
        <w:rPr>
          <w:rFonts w:ascii="Times New Roman" w:hAnsi="Times New Roman" w:cs="Times New Roman"/>
          <w:noProof/>
        </w:rPr>
        <w:t>.</w:t>
      </w:r>
    </w:p>
    <w:p w14:paraId="45F8C741" w14:textId="56A0A7D2"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Howarth, D. M., Gilchrist, G. S., Mullan, B. P., Wiseman, G. A., Edmonson, J. H., &amp; Schomberg, P. J. (1999). Langerhans cell histiocytosis diagnosis, natural history, management, and outcome. </w:t>
      </w:r>
      <w:r w:rsidRPr="00EB62CC">
        <w:rPr>
          <w:rFonts w:ascii="Times New Roman" w:hAnsi="Times New Roman" w:cs="Times New Roman"/>
          <w:i/>
          <w:iCs/>
          <w:noProof/>
        </w:rPr>
        <w:t>Cancer</w:t>
      </w:r>
      <w:r w:rsidRPr="00EB62CC">
        <w:rPr>
          <w:rFonts w:ascii="Times New Roman" w:hAnsi="Times New Roman" w:cs="Times New Roman"/>
          <w:noProof/>
        </w:rPr>
        <w:t xml:space="preserve">, </w:t>
      </w:r>
      <w:r w:rsidRPr="00EB62CC">
        <w:rPr>
          <w:rFonts w:ascii="Times New Roman" w:hAnsi="Times New Roman" w:cs="Times New Roman"/>
          <w:i/>
          <w:iCs/>
          <w:noProof/>
        </w:rPr>
        <w:t>85</w:t>
      </w:r>
      <w:r w:rsidRPr="00EB62CC">
        <w:rPr>
          <w:rFonts w:ascii="Times New Roman" w:hAnsi="Times New Roman" w:cs="Times New Roman"/>
          <w:noProof/>
        </w:rPr>
        <w:t>(10), 2278–2290.</w:t>
      </w:r>
    </w:p>
    <w:p w14:paraId="7400DB8E" w14:textId="6C53169A"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Kaatsch, P., Haaf, G., &amp; Michaelis, J. (1995). Childhood malignancies in Germany-methods and results of a nationwide registry. </w:t>
      </w:r>
      <w:r w:rsidRPr="00EB62CC">
        <w:rPr>
          <w:rFonts w:ascii="Times New Roman" w:hAnsi="Times New Roman" w:cs="Times New Roman"/>
          <w:i/>
          <w:iCs/>
          <w:noProof/>
        </w:rPr>
        <w:t>European Journal of Cancer</w:t>
      </w:r>
      <w:r w:rsidRPr="00EB62CC">
        <w:rPr>
          <w:rFonts w:ascii="Times New Roman" w:hAnsi="Times New Roman" w:cs="Times New Roman"/>
          <w:noProof/>
        </w:rPr>
        <w:t xml:space="preserve">, </w:t>
      </w:r>
      <w:r w:rsidRPr="00EB62CC">
        <w:rPr>
          <w:rFonts w:ascii="Times New Roman" w:hAnsi="Times New Roman" w:cs="Times New Roman"/>
          <w:i/>
          <w:iCs/>
          <w:noProof/>
        </w:rPr>
        <w:t>31a</w:t>
      </w:r>
      <w:r w:rsidRPr="00EB62CC">
        <w:rPr>
          <w:rFonts w:ascii="Times New Roman" w:hAnsi="Times New Roman" w:cs="Times New Roman"/>
          <w:noProof/>
        </w:rPr>
        <w:t xml:space="preserve">(6), 993–999. </w:t>
      </w:r>
    </w:p>
    <w:p w14:paraId="5FF3D9B5" w14:textId="4A9700B0"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Kilpatrick, S. E., Wenger, D. E., Gilchrist, G. S., Shives, T. C., Wollan, P. C., &amp; Unni, K. K. (1995). Langerhans’ cell histiocytosis (histiocytosis X) of bone a clinicopathologic analysis of 263 pediatric and adult cases. </w:t>
      </w:r>
      <w:r w:rsidRPr="00EB62CC">
        <w:rPr>
          <w:rFonts w:ascii="Times New Roman" w:hAnsi="Times New Roman" w:cs="Times New Roman"/>
          <w:i/>
          <w:iCs/>
          <w:noProof/>
        </w:rPr>
        <w:t>Cancer</w:t>
      </w:r>
      <w:r w:rsidRPr="00EB62CC">
        <w:rPr>
          <w:rFonts w:ascii="Times New Roman" w:hAnsi="Times New Roman" w:cs="Times New Roman"/>
          <w:noProof/>
        </w:rPr>
        <w:t xml:space="preserve">, </w:t>
      </w:r>
      <w:r w:rsidRPr="00EB62CC">
        <w:rPr>
          <w:rFonts w:ascii="Times New Roman" w:hAnsi="Times New Roman" w:cs="Times New Roman"/>
          <w:i/>
          <w:iCs/>
          <w:noProof/>
        </w:rPr>
        <w:t>76</w:t>
      </w:r>
      <w:r w:rsidRPr="00EB62CC">
        <w:rPr>
          <w:rFonts w:ascii="Times New Roman" w:hAnsi="Times New Roman" w:cs="Times New Roman"/>
          <w:noProof/>
        </w:rPr>
        <w:t xml:space="preserve">(12), 2471–2484. </w:t>
      </w:r>
    </w:p>
    <w:p w14:paraId="28F3F02A" w14:textId="1E024BC3"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Lahey, M. E. (1975). Histiocytosis X-an analysis of prognostic factors. </w:t>
      </w:r>
      <w:r w:rsidRPr="00EB62CC">
        <w:rPr>
          <w:rFonts w:ascii="Times New Roman" w:hAnsi="Times New Roman" w:cs="Times New Roman"/>
          <w:i/>
          <w:iCs/>
          <w:noProof/>
        </w:rPr>
        <w:t>The Journal of Pediatrics</w:t>
      </w:r>
      <w:r w:rsidRPr="00EB62CC">
        <w:rPr>
          <w:rFonts w:ascii="Times New Roman" w:hAnsi="Times New Roman" w:cs="Times New Roman"/>
          <w:noProof/>
        </w:rPr>
        <w:t xml:space="preserve">, </w:t>
      </w:r>
      <w:r w:rsidRPr="00EB62CC">
        <w:rPr>
          <w:rFonts w:ascii="Times New Roman" w:hAnsi="Times New Roman" w:cs="Times New Roman"/>
          <w:i/>
          <w:iCs/>
          <w:noProof/>
        </w:rPr>
        <w:t>87</w:t>
      </w:r>
      <w:r w:rsidRPr="00EB62CC">
        <w:rPr>
          <w:rFonts w:ascii="Times New Roman" w:hAnsi="Times New Roman" w:cs="Times New Roman"/>
          <w:noProof/>
        </w:rPr>
        <w:t xml:space="preserve">(2), 184–189. </w:t>
      </w:r>
    </w:p>
    <w:p w14:paraId="315134F4" w14:textId="592139ED"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Nezelof, C., &amp; Basset, F. (2004). An Hypothesis Langerhans Cell Histiocytosis: The Failure of the Immune System to Switch from an Innate to an Adaptive Mode. </w:t>
      </w:r>
      <w:r w:rsidRPr="00EB62CC">
        <w:rPr>
          <w:rFonts w:ascii="Times New Roman" w:hAnsi="Times New Roman" w:cs="Times New Roman"/>
          <w:i/>
          <w:iCs/>
          <w:noProof/>
        </w:rPr>
        <w:t>Pediatric Blood and Cancer</w:t>
      </w:r>
      <w:r w:rsidRPr="00EB62CC">
        <w:rPr>
          <w:rFonts w:ascii="Times New Roman" w:hAnsi="Times New Roman" w:cs="Times New Roman"/>
          <w:noProof/>
        </w:rPr>
        <w:t xml:space="preserve">, </w:t>
      </w:r>
      <w:r w:rsidRPr="00EB62CC">
        <w:rPr>
          <w:rFonts w:ascii="Times New Roman" w:hAnsi="Times New Roman" w:cs="Times New Roman"/>
          <w:i/>
          <w:iCs/>
          <w:noProof/>
        </w:rPr>
        <w:t>42</w:t>
      </w:r>
      <w:r w:rsidRPr="00EB62CC">
        <w:rPr>
          <w:rFonts w:ascii="Times New Roman" w:hAnsi="Times New Roman" w:cs="Times New Roman"/>
          <w:noProof/>
        </w:rPr>
        <w:t xml:space="preserve">(5), 398–400. </w:t>
      </w:r>
    </w:p>
    <w:p w14:paraId="1369493D" w14:textId="6AB81AE0"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Salotti, J. A., Nanduri, V., Pearce, M. S., Parker, L., Lynn, R., &amp; Windebank, K. P. (2009). Incidence and clinical features of Langerhans cell histiocytosis in the UK and Ireland. </w:t>
      </w:r>
      <w:r w:rsidRPr="00EB62CC">
        <w:rPr>
          <w:rFonts w:ascii="Times New Roman" w:hAnsi="Times New Roman" w:cs="Times New Roman"/>
          <w:i/>
          <w:iCs/>
          <w:noProof/>
        </w:rPr>
        <w:t>Archives of Disease in Childhood</w:t>
      </w:r>
      <w:r w:rsidRPr="00EB62CC">
        <w:rPr>
          <w:rFonts w:ascii="Times New Roman" w:hAnsi="Times New Roman" w:cs="Times New Roman"/>
          <w:noProof/>
        </w:rPr>
        <w:t xml:space="preserve">, </w:t>
      </w:r>
      <w:r w:rsidRPr="00EB62CC">
        <w:rPr>
          <w:rFonts w:ascii="Times New Roman" w:hAnsi="Times New Roman" w:cs="Times New Roman"/>
          <w:i/>
          <w:iCs/>
          <w:noProof/>
        </w:rPr>
        <w:t>94</w:t>
      </w:r>
      <w:r w:rsidRPr="00EB62CC">
        <w:rPr>
          <w:rFonts w:ascii="Times New Roman" w:hAnsi="Times New Roman" w:cs="Times New Roman"/>
          <w:noProof/>
        </w:rPr>
        <w:t xml:space="preserve">(5), 376–380. </w:t>
      </w:r>
    </w:p>
    <w:p w14:paraId="492B5F68" w14:textId="33EC0527"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Surico, G., Muggeo, P., Muggeo, V., Conti, V., Novielli, C., Romano, A., Loiacono, G., Ceci, A., &amp; Rigillo, N. (2000). Ear involvement in childhood langerhans’ cell histiocytosis. </w:t>
      </w:r>
      <w:r w:rsidRPr="00EB62CC">
        <w:rPr>
          <w:rFonts w:ascii="Times New Roman" w:hAnsi="Times New Roman" w:cs="Times New Roman"/>
          <w:i/>
          <w:iCs/>
          <w:noProof/>
        </w:rPr>
        <w:t>Head and Neck</w:t>
      </w:r>
      <w:r w:rsidRPr="00EB62CC">
        <w:rPr>
          <w:rFonts w:ascii="Times New Roman" w:hAnsi="Times New Roman" w:cs="Times New Roman"/>
          <w:noProof/>
        </w:rPr>
        <w:t xml:space="preserve">, </w:t>
      </w:r>
      <w:r w:rsidRPr="00EB62CC">
        <w:rPr>
          <w:rFonts w:ascii="Times New Roman" w:hAnsi="Times New Roman" w:cs="Times New Roman"/>
          <w:i/>
          <w:iCs/>
          <w:noProof/>
        </w:rPr>
        <w:t>22</w:t>
      </w:r>
      <w:r w:rsidRPr="00EB62CC">
        <w:rPr>
          <w:rFonts w:ascii="Times New Roman" w:hAnsi="Times New Roman" w:cs="Times New Roman"/>
          <w:noProof/>
        </w:rPr>
        <w:t>(1), 42–47.</w:t>
      </w:r>
    </w:p>
    <w:p w14:paraId="1FF8061B" w14:textId="008E73BA" w:rsidR="00AD2A84" w:rsidRPr="00EB62CC" w:rsidRDefault="005E46C3" w:rsidP="00EB62CC">
      <w:pPr>
        <w:widowControl w:val="0"/>
        <w:autoSpaceDE w:val="0"/>
        <w:autoSpaceDN w:val="0"/>
        <w:adjustRightInd w:val="0"/>
        <w:spacing w:after="120"/>
        <w:ind w:left="360"/>
        <w:rPr>
          <w:rFonts w:ascii="Times New Roman" w:hAnsi="Times New Roman" w:cs="Times New Roman"/>
          <w:noProof/>
        </w:rPr>
      </w:pPr>
      <w:r w:rsidRPr="00EB62CC">
        <w:rPr>
          <w:rFonts w:ascii="Times New Roman" w:hAnsi="Times New Roman" w:cs="Times New Roman"/>
          <w:noProof/>
        </w:rPr>
        <w:t xml:space="preserve">Titgemeyer, C., Grois, N., Minkov, M., Flucher-Wolfram, B., Gatterer-Menz, I., &amp; Gadner, H. (2001). Pattern and course of single-system disease in langerhans cell histiocytosis data from the DAL-HX 83- and 90-study. </w:t>
      </w:r>
      <w:r w:rsidRPr="00EB62CC">
        <w:rPr>
          <w:rFonts w:ascii="Times New Roman" w:hAnsi="Times New Roman" w:cs="Times New Roman"/>
          <w:i/>
          <w:iCs/>
          <w:noProof/>
        </w:rPr>
        <w:t>Medical and Pediatric Oncology</w:t>
      </w:r>
      <w:r w:rsidRPr="00EB62CC">
        <w:rPr>
          <w:rFonts w:ascii="Times New Roman" w:hAnsi="Times New Roman" w:cs="Times New Roman"/>
          <w:noProof/>
        </w:rPr>
        <w:t xml:space="preserve">, </w:t>
      </w:r>
      <w:r w:rsidRPr="00EB62CC">
        <w:rPr>
          <w:rFonts w:ascii="Times New Roman" w:hAnsi="Times New Roman" w:cs="Times New Roman"/>
          <w:i/>
          <w:iCs/>
          <w:noProof/>
        </w:rPr>
        <w:t>37</w:t>
      </w:r>
      <w:r w:rsidRPr="00EB62CC">
        <w:rPr>
          <w:rFonts w:ascii="Times New Roman" w:hAnsi="Times New Roman" w:cs="Times New Roman"/>
          <w:noProof/>
        </w:rPr>
        <w:t xml:space="preserve">(2), 108–114. </w:t>
      </w:r>
    </w:p>
    <w:p w14:paraId="55C28690" w14:textId="01DBF1CE" w:rsidR="00AD2A84" w:rsidRDefault="005E46C3" w:rsidP="00EB62CC">
      <w:pPr>
        <w:spacing w:after="120"/>
        <w:jc w:val="both"/>
        <w:rPr>
          <w:rFonts w:asciiTheme="majorBidi" w:hAnsiTheme="majorBidi" w:cstheme="majorBidi"/>
        </w:rPr>
      </w:pPr>
      <w:r>
        <w:rPr>
          <w:rFonts w:asciiTheme="majorBidi" w:hAnsiTheme="majorBidi" w:cstheme="majorBidi"/>
        </w:rPr>
        <w:fldChar w:fldCharType="end"/>
      </w:r>
    </w:p>
    <w:p w14:paraId="6DD82F58" w14:textId="77777777" w:rsidR="00AD2A84" w:rsidRDefault="005E46C3">
      <w:pPr>
        <w:rPr>
          <w:rFonts w:asciiTheme="majorBidi" w:hAnsiTheme="majorBidi" w:cstheme="majorBidi"/>
        </w:rPr>
      </w:pPr>
      <w:r>
        <w:rPr>
          <w:rFonts w:asciiTheme="majorBidi" w:hAnsiTheme="majorBidi" w:cstheme="majorBidi"/>
        </w:rPr>
        <w:br w:type="page"/>
      </w:r>
    </w:p>
    <w:p w14:paraId="689B1118" w14:textId="77777777" w:rsidR="00945FC3" w:rsidRDefault="005E46C3" w:rsidP="00945FC3">
      <w:pPr>
        <w:spacing w:line="360" w:lineRule="auto"/>
        <w:jc w:val="both"/>
        <w:rPr>
          <w:rFonts w:asciiTheme="majorBidi" w:hAnsiTheme="majorBidi" w:cstheme="majorBidi"/>
          <w:b/>
          <w:bCs/>
        </w:rPr>
      </w:pPr>
      <w:r w:rsidRPr="00D14DAA">
        <w:rPr>
          <w:rFonts w:asciiTheme="majorBidi" w:hAnsiTheme="majorBidi" w:cstheme="majorBidi"/>
          <w:b/>
          <w:bCs/>
        </w:rPr>
        <w:lastRenderedPageBreak/>
        <w:t>Appendix</w:t>
      </w:r>
    </w:p>
    <w:p w14:paraId="1FEBA40E" w14:textId="77777777" w:rsidR="00945FC3" w:rsidRPr="009518DD" w:rsidRDefault="005E46C3" w:rsidP="00945FC3">
      <w:pPr>
        <w:ind w:right="360"/>
        <w:rPr>
          <w:rFonts w:ascii="Times New Roman" w:eastAsia="Times New Roman" w:hAnsi="Times New Roman" w:cs="Arial"/>
          <w:b/>
          <w:bCs/>
        </w:rPr>
      </w:pPr>
      <w:r w:rsidRPr="009518DD">
        <w:rPr>
          <w:rFonts w:ascii="Times New Roman" w:eastAsia="Times New Roman" w:hAnsi="Times New Roman" w:cs="Arial"/>
          <w:b/>
          <w:bCs/>
        </w:rPr>
        <w:t>Summary of treatment components of LCH III protocol</w:t>
      </w:r>
    </w:p>
    <w:tbl>
      <w:tblPr>
        <w:tblStyle w:val="TableGrid1"/>
        <w:tblW w:w="8642" w:type="dxa"/>
        <w:tblLook w:val="04A0" w:firstRow="1" w:lastRow="0" w:firstColumn="1" w:lastColumn="0" w:noHBand="0" w:noVBand="1"/>
      </w:tblPr>
      <w:tblGrid>
        <w:gridCol w:w="1658"/>
        <w:gridCol w:w="2963"/>
        <w:gridCol w:w="4021"/>
      </w:tblGrid>
      <w:tr w:rsidR="00B7002F" w14:paraId="2BF69596" w14:textId="77777777" w:rsidTr="00F921CC">
        <w:tc>
          <w:tcPr>
            <w:tcW w:w="1658" w:type="dxa"/>
          </w:tcPr>
          <w:p w14:paraId="2E017ADD" w14:textId="77777777" w:rsidR="00945FC3" w:rsidRPr="009518DD" w:rsidRDefault="00945FC3" w:rsidP="00F921CC">
            <w:pPr>
              <w:spacing w:after="160"/>
              <w:rPr>
                <w:rFonts w:ascii="Times New Roman" w:eastAsia="Times New Roman" w:hAnsi="Times New Roman" w:cs="Times New Roman"/>
                <w:sz w:val="24"/>
                <w:szCs w:val="24"/>
              </w:rPr>
            </w:pPr>
          </w:p>
        </w:tc>
        <w:tc>
          <w:tcPr>
            <w:tcW w:w="2963" w:type="dxa"/>
          </w:tcPr>
          <w:p w14:paraId="09D33898" w14:textId="77777777" w:rsidR="00945FC3" w:rsidRPr="009518DD" w:rsidRDefault="005E46C3" w:rsidP="00F921CC">
            <w:pPr>
              <w:spacing w:after="160"/>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Treatment A</w:t>
            </w:r>
          </w:p>
        </w:tc>
        <w:tc>
          <w:tcPr>
            <w:tcW w:w="4021" w:type="dxa"/>
          </w:tcPr>
          <w:p w14:paraId="072EDD90" w14:textId="77777777" w:rsidR="00945FC3" w:rsidRPr="009518DD" w:rsidRDefault="005E46C3" w:rsidP="00F921CC">
            <w:pPr>
              <w:spacing w:after="160"/>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 xml:space="preserve">Treatment B </w:t>
            </w:r>
          </w:p>
        </w:tc>
      </w:tr>
      <w:tr w:rsidR="00B7002F" w14:paraId="69FF4F22" w14:textId="77777777" w:rsidTr="00F921CC">
        <w:tc>
          <w:tcPr>
            <w:tcW w:w="1658" w:type="dxa"/>
          </w:tcPr>
          <w:p w14:paraId="2DD55EC7" w14:textId="77777777" w:rsidR="00945FC3" w:rsidRPr="009518DD" w:rsidRDefault="005E46C3" w:rsidP="00F921CC">
            <w:pPr>
              <w:spacing w:after="160"/>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COURSE I</w:t>
            </w:r>
          </w:p>
        </w:tc>
        <w:tc>
          <w:tcPr>
            <w:tcW w:w="2963" w:type="dxa"/>
          </w:tcPr>
          <w:p w14:paraId="6DA1D67A" w14:textId="77777777" w:rsidR="00945FC3" w:rsidRPr="009518DD" w:rsidRDefault="005E46C3" w:rsidP="00945FC3">
            <w:pPr>
              <w:numPr>
                <w:ilvl w:val="0"/>
                <w:numId w:val="2"/>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Prednisone (PDN): 40mg/m2 daily in 3 doses as a 4-week course, tapering over a period of 2 weeks</w:t>
            </w:r>
          </w:p>
          <w:p w14:paraId="74ADEC85" w14:textId="77777777" w:rsidR="00945FC3" w:rsidRPr="009518DD" w:rsidRDefault="005E46C3" w:rsidP="00945FC3">
            <w:pPr>
              <w:numPr>
                <w:ilvl w:val="0"/>
                <w:numId w:val="2"/>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Vinblastine (VBL) 6 mg/m2 IV day 1 of week 1, 2, 3, 4, 5, 6.</w:t>
            </w:r>
          </w:p>
          <w:p w14:paraId="4F57A13A" w14:textId="77777777" w:rsidR="00945FC3" w:rsidRPr="009518DD" w:rsidRDefault="00945FC3" w:rsidP="00F921CC">
            <w:pPr>
              <w:spacing w:after="160"/>
              <w:rPr>
                <w:rFonts w:ascii="Times New Roman" w:eastAsia="Times New Roman" w:hAnsi="Times New Roman" w:cs="Times New Roman"/>
                <w:sz w:val="24"/>
                <w:szCs w:val="24"/>
              </w:rPr>
            </w:pPr>
          </w:p>
        </w:tc>
        <w:tc>
          <w:tcPr>
            <w:tcW w:w="4021" w:type="dxa"/>
          </w:tcPr>
          <w:p w14:paraId="6FD11219" w14:textId="77777777" w:rsidR="00945FC3" w:rsidRPr="009518DD" w:rsidRDefault="005E46C3" w:rsidP="00F921CC">
            <w:pPr>
              <w:numPr>
                <w:ilvl w:val="0"/>
                <w:numId w:val="5"/>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Prednisone (PDN): 40mg/m2 daily in 3 doses as a 4-week course, tapering over a period of 2 weeks</w:t>
            </w:r>
          </w:p>
          <w:p w14:paraId="42B035BA" w14:textId="77777777" w:rsidR="00945FC3" w:rsidRPr="009518DD" w:rsidRDefault="005E46C3" w:rsidP="00F921CC">
            <w:pPr>
              <w:numPr>
                <w:ilvl w:val="0"/>
                <w:numId w:val="5"/>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Vinblastine (VBL) 6 mg/m2 IV day 1 of week 1, 2, 3, 4, 5, 6.</w:t>
            </w:r>
          </w:p>
          <w:p w14:paraId="7D0A0918" w14:textId="77777777" w:rsidR="00945FC3" w:rsidRPr="009518DD" w:rsidRDefault="005E46C3" w:rsidP="00F921CC">
            <w:pPr>
              <w:numPr>
                <w:ilvl w:val="0"/>
                <w:numId w:val="5"/>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Methotrexate 500 mg/m2 24 hours-infusion with Folinic acid (leucovorin) rescue.</w:t>
            </w:r>
          </w:p>
          <w:p w14:paraId="050BC679" w14:textId="77777777" w:rsidR="00945FC3" w:rsidRPr="009518DD" w:rsidRDefault="005E46C3" w:rsidP="00F921CC">
            <w:pPr>
              <w:numPr>
                <w:ilvl w:val="0"/>
                <w:numId w:val="5"/>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Folinic acid 12mg/m2 orally is given 24 hours and 30 hours after the stop of the MTX infusion.</w:t>
            </w:r>
          </w:p>
          <w:p w14:paraId="2FC9C109" w14:textId="77777777" w:rsidR="00945FC3" w:rsidRPr="009518DD" w:rsidRDefault="00945FC3" w:rsidP="00F921CC">
            <w:pPr>
              <w:spacing w:after="160"/>
              <w:rPr>
                <w:rFonts w:ascii="Times New Roman" w:eastAsia="Times New Roman" w:hAnsi="Times New Roman" w:cs="Times New Roman"/>
                <w:sz w:val="24"/>
                <w:szCs w:val="24"/>
              </w:rPr>
            </w:pPr>
          </w:p>
        </w:tc>
      </w:tr>
      <w:tr w:rsidR="00B7002F" w14:paraId="771A60F1" w14:textId="77777777" w:rsidTr="00F921CC">
        <w:tc>
          <w:tcPr>
            <w:tcW w:w="1658" w:type="dxa"/>
          </w:tcPr>
          <w:p w14:paraId="028BB587" w14:textId="77777777" w:rsidR="00945FC3" w:rsidRPr="009518DD" w:rsidRDefault="005E46C3" w:rsidP="00F921CC">
            <w:pPr>
              <w:spacing w:after="160"/>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*COURSE II</w:t>
            </w:r>
          </w:p>
        </w:tc>
        <w:tc>
          <w:tcPr>
            <w:tcW w:w="2963" w:type="dxa"/>
          </w:tcPr>
          <w:p w14:paraId="44BFBE48" w14:textId="77777777" w:rsidR="00945FC3" w:rsidRPr="009518DD" w:rsidRDefault="005E46C3" w:rsidP="00F921CC">
            <w:pPr>
              <w:numPr>
                <w:ilvl w:val="0"/>
                <w:numId w:val="3"/>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 xml:space="preserve">Prednisone (PDN): 40mg/m2 </w:t>
            </w:r>
            <w:r w:rsidRPr="009518DD">
              <w:rPr>
                <w:rFonts w:ascii="Times New Roman" w:eastAsia="Times New Roman" w:hAnsi="Times New Roman" w:cs="Arial"/>
                <w:sz w:val="24"/>
                <w:szCs w:val="24"/>
              </w:rPr>
              <w:t>in 3 divided doses for 3 days every week, from week 7-12.</w:t>
            </w:r>
          </w:p>
          <w:p w14:paraId="0AF39984" w14:textId="77777777" w:rsidR="00945FC3" w:rsidRPr="009518DD" w:rsidRDefault="005E46C3" w:rsidP="00F921CC">
            <w:pPr>
              <w:numPr>
                <w:ilvl w:val="0"/>
                <w:numId w:val="3"/>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Vinblastine (VBL) 6 mg/m2 IV day 1 of week 7, 8, 9, 10, 11, 12.</w:t>
            </w:r>
          </w:p>
        </w:tc>
        <w:tc>
          <w:tcPr>
            <w:tcW w:w="4021" w:type="dxa"/>
          </w:tcPr>
          <w:p w14:paraId="3E5520C3" w14:textId="77777777" w:rsidR="00945FC3" w:rsidRPr="009518DD" w:rsidRDefault="005E46C3" w:rsidP="00F921CC">
            <w:pPr>
              <w:numPr>
                <w:ilvl w:val="0"/>
                <w:numId w:val="6"/>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 xml:space="preserve">Prednisone (PDN): 40mg/m2 </w:t>
            </w:r>
            <w:r w:rsidRPr="009518DD">
              <w:rPr>
                <w:rFonts w:ascii="Times New Roman" w:eastAsia="Times New Roman" w:hAnsi="Times New Roman" w:cs="Arial"/>
                <w:sz w:val="24"/>
                <w:szCs w:val="24"/>
              </w:rPr>
              <w:t>in 3 divided doses for 3 days every week, from week 7-12.</w:t>
            </w:r>
          </w:p>
          <w:p w14:paraId="62D6C170" w14:textId="77777777" w:rsidR="00945FC3" w:rsidRPr="009518DD" w:rsidRDefault="005E46C3" w:rsidP="00F921CC">
            <w:pPr>
              <w:numPr>
                <w:ilvl w:val="0"/>
                <w:numId w:val="6"/>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Vinblastine (VBL) 6 mg/m2 IV day 1 of week 7, 8, 9, 10, 11, 12.</w:t>
            </w:r>
          </w:p>
          <w:p w14:paraId="63C7D567" w14:textId="77777777" w:rsidR="00945FC3" w:rsidRPr="009518DD" w:rsidRDefault="005E46C3" w:rsidP="00F921CC">
            <w:pPr>
              <w:numPr>
                <w:ilvl w:val="0"/>
                <w:numId w:val="6"/>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 xml:space="preserve">Methotrexate 500 mg/m2 24 hours-infusion with folinic acid (leucovorin) rescue. </w:t>
            </w:r>
          </w:p>
          <w:p w14:paraId="0452C9F5" w14:textId="77777777" w:rsidR="00945FC3" w:rsidRPr="009518DD" w:rsidRDefault="005E46C3" w:rsidP="00F921CC">
            <w:pPr>
              <w:numPr>
                <w:ilvl w:val="0"/>
                <w:numId w:val="6"/>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Folinic acid 12mg/m2 orally is given 24 hours and 30 hours after the stop of the MTX infusion</w:t>
            </w:r>
          </w:p>
        </w:tc>
      </w:tr>
      <w:tr w:rsidR="00B7002F" w14:paraId="2BD38EBF" w14:textId="77777777" w:rsidTr="00F921CC">
        <w:tc>
          <w:tcPr>
            <w:tcW w:w="1658" w:type="dxa"/>
          </w:tcPr>
          <w:p w14:paraId="4A05EC72" w14:textId="77777777" w:rsidR="00945FC3" w:rsidRPr="009518DD" w:rsidRDefault="005E46C3" w:rsidP="00F921CC">
            <w:pPr>
              <w:spacing w:after="160"/>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Continuation treatment:</w:t>
            </w:r>
          </w:p>
        </w:tc>
        <w:tc>
          <w:tcPr>
            <w:tcW w:w="2963" w:type="dxa"/>
          </w:tcPr>
          <w:p w14:paraId="604CA4A8" w14:textId="77777777" w:rsidR="00945FC3" w:rsidRPr="009518DD" w:rsidRDefault="005E46C3" w:rsidP="00F921CC">
            <w:pPr>
              <w:numPr>
                <w:ilvl w:val="0"/>
                <w:numId w:val="4"/>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Oral 6-mercaptopurine (6-MP) 50mg/m2 daily until the end of month 12 from therapy start.</w:t>
            </w:r>
          </w:p>
          <w:p w14:paraId="7755B9AA" w14:textId="77777777" w:rsidR="00945FC3" w:rsidRPr="009518DD" w:rsidRDefault="005E46C3" w:rsidP="00F921CC">
            <w:pPr>
              <w:numPr>
                <w:ilvl w:val="0"/>
                <w:numId w:val="4"/>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 xml:space="preserve">Pulses of oral prednisone PDN 40mg/m2 in 3 doses, day 1-5 q 3 weeks. </w:t>
            </w:r>
          </w:p>
          <w:p w14:paraId="2EC09988" w14:textId="77777777" w:rsidR="00945FC3" w:rsidRPr="009518DD" w:rsidRDefault="005E46C3" w:rsidP="00F921CC">
            <w:pPr>
              <w:numPr>
                <w:ilvl w:val="0"/>
                <w:numId w:val="4"/>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Vinblastine (VBL) 6mg/m2 IV bolus, day 1 q 3 weeks.</w:t>
            </w:r>
          </w:p>
        </w:tc>
        <w:tc>
          <w:tcPr>
            <w:tcW w:w="4021" w:type="dxa"/>
          </w:tcPr>
          <w:p w14:paraId="2DCECA1A" w14:textId="77777777" w:rsidR="00945FC3" w:rsidRPr="009518DD" w:rsidRDefault="005E46C3" w:rsidP="00F921CC">
            <w:pPr>
              <w:numPr>
                <w:ilvl w:val="0"/>
                <w:numId w:val="7"/>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Oral 6-mercaptopurine (6-MP) 50mg/m2 daily until the end of month 12 from therapy start.</w:t>
            </w:r>
          </w:p>
          <w:p w14:paraId="712C1D29" w14:textId="77777777" w:rsidR="00945FC3" w:rsidRPr="009518DD" w:rsidRDefault="005E46C3" w:rsidP="00F921CC">
            <w:pPr>
              <w:numPr>
                <w:ilvl w:val="0"/>
                <w:numId w:val="7"/>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 xml:space="preserve">Pulses of oral prednisone PDN 40mg/m2 in 3 doses, day 1-5 q 3 weeks. </w:t>
            </w:r>
          </w:p>
          <w:p w14:paraId="4467A64E" w14:textId="77777777" w:rsidR="00945FC3" w:rsidRPr="009518DD" w:rsidRDefault="005E46C3" w:rsidP="00F921CC">
            <w:pPr>
              <w:numPr>
                <w:ilvl w:val="0"/>
                <w:numId w:val="7"/>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Vinblastine (VBL) 6mg/m2 IV bolus, day 1 q 3 weeks.</w:t>
            </w:r>
          </w:p>
          <w:p w14:paraId="5763D447" w14:textId="77777777" w:rsidR="00945FC3" w:rsidRPr="009518DD" w:rsidRDefault="005E46C3" w:rsidP="00F921CC">
            <w:pPr>
              <w:numPr>
                <w:ilvl w:val="0"/>
                <w:numId w:val="7"/>
              </w:numPr>
              <w:spacing w:after="160"/>
              <w:contextualSpacing/>
              <w:rPr>
                <w:rFonts w:ascii="Times New Roman" w:eastAsia="Times New Roman" w:hAnsi="Times New Roman" w:cs="Times New Roman"/>
                <w:sz w:val="24"/>
                <w:szCs w:val="24"/>
              </w:rPr>
            </w:pPr>
            <w:r w:rsidRPr="009518DD">
              <w:rPr>
                <w:rFonts w:ascii="Times New Roman" w:eastAsia="Times New Roman" w:hAnsi="Times New Roman" w:cs="Times New Roman"/>
                <w:sz w:val="24"/>
                <w:szCs w:val="24"/>
              </w:rPr>
              <w:t>Methotrexate 20mg/m2 orally, once weekly until the end of month 12</w:t>
            </w:r>
          </w:p>
        </w:tc>
      </w:tr>
    </w:tbl>
    <w:p w14:paraId="6E17FEE4" w14:textId="77777777" w:rsidR="00945FC3" w:rsidRPr="00607C8A" w:rsidRDefault="005E46C3" w:rsidP="00945FC3">
      <w:pPr>
        <w:autoSpaceDE w:val="0"/>
        <w:autoSpaceDN w:val="0"/>
        <w:adjustRightInd w:val="0"/>
        <w:rPr>
          <w:rFonts w:ascii="Times New Roman" w:hAnsi="Times New Roman" w:cs="Times New Roman"/>
          <w:rtl/>
        </w:rPr>
      </w:pPr>
      <w:r w:rsidRPr="009518DD">
        <w:rPr>
          <w:rFonts w:ascii="Times New Roman" w:eastAsia="Times New Roman" w:hAnsi="Times New Roman" w:cs="Times New Roman"/>
        </w:rPr>
        <w:t>*</w:t>
      </w:r>
      <w:r w:rsidRPr="009518DD">
        <w:t xml:space="preserve"> </w:t>
      </w:r>
      <w:r w:rsidRPr="009518DD">
        <w:rPr>
          <w:rFonts w:ascii="Times New Roman" w:eastAsia="Times New Roman" w:hAnsi="Times New Roman" w:cs="Times New Roman"/>
        </w:rPr>
        <w:t>Starting without delay after course 1 for patients who are Active Disease (AD) better or intermediate after course 1. Patients who are Non-Active Disease (NAD)</w:t>
      </w:r>
      <w:r w:rsidRPr="009518DD">
        <w:t xml:space="preserve"> </w:t>
      </w:r>
      <w:r w:rsidRPr="009518DD">
        <w:rPr>
          <w:rFonts w:ascii="Times New Roman" w:eastAsia="Times New Roman" w:hAnsi="Times New Roman" w:cs="Times New Roman"/>
        </w:rPr>
        <w:t>after course 1 proceed to continuation treatment</w:t>
      </w:r>
    </w:p>
    <w:p w14:paraId="04C25CF1" w14:textId="7A66C92F" w:rsidR="00945FC3" w:rsidRPr="009D6AF6" w:rsidRDefault="00945FC3" w:rsidP="00CC47BC">
      <w:pPr>
        <w:spacing w:after="120"/>
        <w:jc w:val="both"/>
        <w:rPr>
          <w:rFonts w:asciiTheme="majorBidi" w:hAnsiTheme="majorBidi" w:cstheme="majorBidi"/>
        </w:rPr>
      </w:pPr>
    </w:p>
    <w:sectPr w:rsidR="00945FC3" w:rsidRPr="009D6AF6" w:rsidSect="00BA7813">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DC51" w14:textId="77777777" w:rsidR="00785B5C" w:rsidRDefault="00785B5C">
      <w:r>
        <w:separator/>
      </w:r>
    </w:p>
  </w:endnote>
  <w:endnote w:type="continuationSeparator" w:id="0">
    <w:p w14:paraId="7BA4D1CA" w14:textId="77777777" w:rsidR="00785B5C" w:rsidRDefault="0078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337151"/>
      <w:docPartObj>
        <w:docPartGallery w:val="Page Numbers (Bottom of Page)"/>
        <w:docPartUnique/>
      </w:docPartObj>
    </w:sdtPr>
    <w:sdtEndPr>
      <w:rPr>
        <w:noProof/>
      </w:rPr>
    </w:sdtEndPr>
    <w:sdtContent>
      <w:p w14:paraId="4975431D" w14:textId="3DC6EF16" w:rsidR="00653100" w:rsidRDefault="005E46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2687F" w14:textId="77777777" w:rsidR="00653100" w:rsidRDefault="0065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1E9B" w14:textId="77777777" w:rsidR="00785B5C" w:rsidRDefault="00785B5C">
      <w:r>
        <w:separator/>
      </w:r>
    </w:p>
  </w:footnote>
  <w:footnote w:type="continuationSeparator" w:id="0">
    <w:p w14:paraId="4F431F82" w14:textId="77777777" w:rsidR="00785B5C" w:rsidRDefault="00785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8F9"/>
    <w:multiLevelType w:val="hybridMultilevel"/>
    <w:tmpl w:val="73063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1722A"/>
    <w:multiLevelType w:val="hybridMultilevel"/>
    <w:tmpl w:val="E88A9A10"/>
    <w:lvl w:ilvl="0" w:tplc="8BA60854">
      <w:start w:val="1"/>
      <w:numFmt w:val="decimal"/>
      <w:lvlText w:val="%1."/>
      <w:lvlJc w:val="left"/>
      <w:pPr>
        <w:ind w:left="720" w:hanging="360"/>
      </w:pPr>
      <w:rPr>
        <w:rFonts w:hint="default"/>
      </w:rPr>
    </w:lvl>
    <w:lvl w:ilvl="1" w:tplc="BBD44E92" w:tentative="1">
      <w:start w:val="1"/>
      <w:numFmt w:val="lowerLetter"/>
      <w:lvlText w:val="%2."/>
      <w:lvlJc w:val="left"/>
      <w:pPr>
        <w:ind w:left="1440" w:hanging="360"/>
      </w:pPr>
    </w:lvl>
    <w:lvl w:ilvl="2" w:tplc="C42AF34C" w:tentative="1">
      <w:start w:val="1"/>
      <w:numFmt w:val="lowerRoman"/>
      <w:lvlText w:val="%3."/>
      <w:lvlJc w:val="right"/>
      <w:pPr>
        <w:ind w:left="2160" w:hanging="180"/>
      </w:pPr>
    </w:lvl>
    <w:lvl w:ilvl="3" w:tplc="2C1815B6" w:tentative="1">
      <w:start w:val="1"/>
      <w:numFmt w:val="decimal"/>
      <w:lvlText w:val="%4."/>
      <w:lvlJc w:val="left"/>
      <w:pPr>
        <w:ind w:left="2880" w:hanging="360"/>
      </w:pPr>
    </w:lvl>
    <w:lvl w:ilvl="4" w:tplc="2A985F9A" w:tentative="1">
      <w:start w:val="1"/>
      <w:numFmt w:val="lowerLetter"/>
      <w:lvlText w:val="%5."/>
      <w:lvlJc w:val="left"/>
      <w:pPr>
        <w:ind w:left="3600" w:hanging="360"/>
      </w:pPr>
    </w:lvl>
    <w:lvl w:ilvl="5" w:tplc="220680EA" w:tentative="1">
      <w:start w:val="1"/>
      <w:numFmt w:val="lowerRoman"/>
      <w:lvlText w:val="%6."/>
      <w:lvlJc w:val="right"/>
      <w:pPr>
        <w:ind w:left="4320" w:hanging="180"/>
      </w:pPr>
    </w:lvl>
    <w:lvl w:ilvl="6" w:tplc="F4F2913E" w:tentative="1">
      <w:start w:val="1"/>
      <w:numFmt w:val="decimal"/>
      <w:lvlText w:val="%7."/>
      <w:lvlJc w:val="left"/>
      <w:pPr>
        <w:ind w:left="5040" w:hanging="360"/>
      </w:pPr>
    </w:lvl>
    <w:lvl w:ilvl="7" w:tplc="8C123A4A" w:tentative="1">
      <w:start w:val="1"/>
      <w:numFmt w:val="lowerLetter"/>
      <w:lvlText w:val="%8."/>
      <w:lvlJc w:val="left"/>
      <w:pPr>
        <w:ind w:left="5760" w:hanging="360"/>
      </w:pPr>
    </w:lvl>
    <w:lvl w:ilvl="8" w:tplc="9188718E" w:tentative="1">
      <w:start w:val="1"/>
      <w:numFmt w:val="lowerRoman"/>
      <w:lvlText w:val="%9."/>
      <w:lvlJc w:val="right"/>
      <w:pPr>
        <w:ind w:left="6480" w:hanging="180"/>
      </w:pPr>
    </w:lvl>
  </w:abstractNum>
  <w:abstractNum w:abstractNumId="2" w15:restartNumberingAfterBreak="0">
    <w:nsid w:val="483D0B3D"/>
    <w:multiLevelType w:val="hybridMultilevel"/>
    <w:tmpl w:val="9652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66FD9"/>
    <w:multiLevelType w:val="hybridMultilevel"/>
    <w:tmpl w:val="E88A9A10"/>
    <w:lvl w:ilvl="0" w:tplc="86F00C34">
      <w:start w:val="1"/>
      <w:numFmt w:val="decimal"/>
      <w:lvlText w:val="%1."/>
      <w:lvlJc w:val="left"/>
      <w:pPr>
        <w:ind w:left="720" w:hanging="360"/>
      </w:pPr>
      <w:rPr>
        <w:rFonts w:hint="default"/>
      </w:rPr>
    </w:lvl>
    <w:lvl w:ilvl="1" w:tplc="9828B586" w:tentative="1">
      <w:start w:val="1"/>
      <w:numFmt w:val="lowerLetter"/>
      <w:lvlText w:val="%2."/>
      <w:lvlJc w:val="left"/>
      <w:pPr>
        <w:ind w:left="1440" w:hanging="360"/>
      </w:pPr>
    </w:lvl>
    <w:lvl w:ilvl="2" w:tplc="6C7C42B0" w:tentative="1">
      <w:start w:val="1"/>
      <w:numFmt w:val="lowerRoman"/>
      <w:lvlText w:val="%3."/>
      <w:lvlJc w:val="right"/>
      <w:pPr>
        <w:ind w:left="2160" w:hanging="180"/>
      </w:pPr>
    </w:lvl>
    <w:lvl w:ilvl="3" w:tplc="D55809B2" w:tentative="1">
      <w:start w:val="1"/>
      <w:numFmt w:val="decimal"/>
      <w:lvlText w:val="%4."/>
      <w:lvlJc w:val="left"/>
      <w:pPr>
        <w:ind w:left="2880" w:hanging="360"/>
      </w:pPr>
    </w:lvl>
    <w:lvl w:ilvl="4" w:tplc="52B2E512" w:tentative="1">
      <w:start w:val="1"/>
      <w:numFmt w:val="lowerLetter"/>
      <w:lvlText w:val="%5."/>
      <w:lvlJc w:val="left"/>
      <w:pPr>
        <w:ind w:left="3600" w:hanging="360"/>
      </w:pPr>
    </w:lvl>
    <w:lvl w:ilvl="5" w:tplc="8CDC4EE4" w:tentative="1">
      <w:start w:val="1"/>
      <w:numFmt w:val="lowerRoman"/>
      <w:lvlText w:val="%6."/>
      <w:lvlJc w:val="right"/>
      <w:pPr>
        <w:ind w:left="4320" w:hanging="180"/>
      </w:pPr>
    </w:lvl>
    <w:lvl w:ilvl="6" w:tplc="D0A01762" w:tentative="1">
      <w:start w:val="1"/>
      <w:numFmt w:val="decimal"/>
      <w:lvlText w:val="%7."/>
      <w:lvlJc w:val="left"/>
      <w:pPr>
        <w:ind w:left="5040" w:hanging="360"/>
      </w:pPr>
    </w:lvl>
    <w:lvl w:ilvl="7" w:tplc="523E7218" w:tentative="1">
      <w:start w:val="1"/>
      <w:numFmt w:val="lowerLetter"/>
      <w:lvlText w:val="%8."/>
      <w:lvlJc w:val="left"/>
      <w:pPr>
        <w:ind w:left="5760" w:hanging="360"/>
      </w:pPr>
    </w:lvl>
    <w:lvl w:ilvl="8" w:tplc="84CC298E" w:tentative="1">
      <w:start w:val="1"/>
      <w:numFmt w:val="lowerRoman"/>
      <w:lvlText w:val="%9."/>
      <w:lvlJc w:val="right"/>
      <w:pPr>
        <w:ind w:left="6480" w:hanging="180"/>
      </w:pPr>
    </w:lvl>
  </w:abstractNum>
  <w:abstractNum w:abstractNumId="4" w15:restartNumberingAfterBreak="0">
    <w:nsid w:val="4CBA3207"/>
    <w:multiLevelType w:val="hybridMultilevel"/>
    <w:tmpl w:val="E88A9A10"/>
    <w:lvl w:ilvl="0" w:tplc="BF3CEADA">
      <w:start w:val="1"/>
      <w:numFmt w:val="decimal"/>
      <w:lvlText w:val="%1."/>
      <w:lvlJc w:val="left"/>
      <w:pPr>
        <w:ind w:left="720" w:hanging="360"/>
      </w:pPr>
      <w:rPr>
        <w:rFonts w:hint="default"/>
      </w:rPr>
    </w:lvl>
    <w:lvl w:ilvl="1" w:tplc="3098B674" w:tentative="1">
      <w:start w:val="1"/>
      <w:numFmt w:val="lowerLetter"/>
      <w:lvlText w:val="%2."/>
      <w:lvlJc w:val="left"/>
      <w:pPr>
        <w:ind w:left="1440" w:hanging="360"/>
      </w:pPr>
    </w:lvl>
    <w:lvl w:ilvl="2" w:tplc="ED7EA9E8" w:tentative="1">
      <w:start w:val="1"/>
      <w:numFmt w:val="lowerRoman"/>
      <w:lvlText w:val="%3."/>
      <w:lvlJc w:val="right"/>
      <w:pPr>
        <w:ind w:left="2160" w:hanging="180"/>
      </w:pPr>
    </w:lvl>
    <w:lvl w:ilvl="3" w:tplc="D47877A6" w:tentative="1">
      <w:start w:val="1"/>
      <w:numFmt w:val="decimal"/>
      <w:lvlText w:val="%4."/>
      <w:lvlJc w:val="left"/>
      <w:pPr>
        <w:ind w:left="2880" w:hanging="360"/>
      </w:pPr>
    </w:lvl>
    <w:lvl w:ilvl="4" w:tplc="A8A8B1E8" w:tentative="1">
      <w:start w:val="1"/>
      <w:numFmt w:val="lowerLetter"/>
      <w:lvlText w:val="%5."/>
      <w:lvlJc w:val="left"/>
      <w:pPr>
        <w:ind w:left="3600" w:hanging="360"/>
      </w:pPr>
    </w:lvl>
    <w:lvl w:ilvl="5" w:tplc="AF54C7CA" w:tentative="1">
      <w:start w:val="1"/>
      <w:numFmt w:val="lowerRoman"/>
      <w:lvlText w:val="%6."/>
      <w:lvlJc w:val="right"/>
      <w:pPr>
        <w:ind w:left="4320" w:hanging="180"/>
      </w:pPr>
    </w:lvl>
    <w:lvl w:ilvl="6" w:tplc="0BAAC2CE" w:tentative="1">
      <w:start w:val="1"/>
      <w:numFmt w:val="decimal"/>
      <w:lvlText w:val="%7."/>
      <w:lvlJc w:val="left"/>
      <w:pPr>
        <w:ind w:left="5040" w:hanging="360"/>
      </w:pPr>
    </w:lvl>
    <w:lvl w:ilvl="7" w:tplc="ECF4EEAA" w:tentative="1">
      <w:start w:val="1"/>
      <w:numFmt w:val="lowerLetter"/>
      <w:lvlText w:val="%8."/>
      <w:lvlJc w:val="left"/>
      <w:pPr>
        <w:ind w:left="5760" w:hanging="360"/>
      </w:pPr>
    </w:lvl>
    <w:lvl w:ilvl="8" w:tplc="76FAD8BC" w:tentative="1">
      <w:start w:val="1"/>
      <w:numFmt w:val="lowerRoman"/>
      <w:lvlText w:val="%9."/>
      <w:lvlJc w:val="right"/>
      <w:pPr>
        <w:ind w:left="6480" w:hanging="180"/>
      </w:pPr>
    </w:lvl>
  </w:abstractNum>
  <w:abstractNum w:abstractNumId="5" w15:restartNumberingAfterBreak="0">
    <w:nsid w:val="50982317"/>
    <w:multiLevelType w:val="hybridMultilevel"/>
    <w:tmpl w:val="A6E2AB2A"/>
    <w:lvl w:ilvl="0" w:tplc="EE003516">
      <w:start w:val="1"/>
      <w:numFmt w:val="decimal"/>
      <w:lvlText w:val="%1."/>
      <w:lvlJc w:val="left"/>
      <w:pPr>
        <w:ind w:left="720" w:hanging="360"/>
      </w:pPr>
      <w:rPr>
        <w:rFonts w:hint="default"/>
      </w:rPr>
    </w:lvl>
    <w:lvl w:ilvl="1" w:tplc="D84A17CC" w:tentative="1">
      <w:start w:val="1"/>
      <w:numFmt w:val="lowerLetter"/>
      <w:lvlText w:val="%2."/>
      <w:lvlJc w:val="left"/>
      <w:pPr>
        <w:ind w:left="1440" w:hanging="360"/>
      </w:pPr>
    </w:lvl>
    <w:lvl w:ilvl="2" w:tplc="664E3BA4" w:tentative="1">
      <w:start w:val="1"/>
      <w:numFmt w:val="lowerRoman"/>
      <w:lvlText w:val="%3."/>
      <w:lvlJc w:val="right"/>
      <w:pPr>
        <w:ind w:left="2160" w:hanging="180"/>
      </w:pPr>
    </w:lvl>
    <w:lvl w:ilvl="3" w:tplc="6B90EC4C" w:tentative="1">
      <w:start w:val="1"/>
      <w:numFmt w:val="decimal"/>
      <w:lvlText w:val="%4."/>
      <w:lvlJc w:val="left"/>
      <w:pPr>
        <w:ind w:left="2880" w:hanging="360"/>
      </w:pPr>
    </w:lvl>
    <w:lvl w:ilvl="4" w:tplc="9EA4AA86" w:tentative="1">
      <w:start w:val="1"/>
      <w:numFmt w:val="lowerLetter"/>
      <w:lvlText w:val="%5."/>
      <w:lvlJc w:val="left"/>
      <w:pPr>
        <w:ind w:left="3600" w:hanging="360"/>
      </w:pPr>
    </w:lvl>
    <w:lvl w:ilvl="5" w:tplc="4136081A" w:tentative="1">
      <w:start w:val="1"/>
      <w:numFmt w:val="lowerRoman"/>
      <w:lvlText w:val="%6."/>
      <w:lvlJc w:val="right"/>
      <w:pPr>
        <w:ind w:left="4320" w:hanging="180"/>
      </w:pPr>
    </w:lvl>
    <w:lvl w:ilvl="6" w:tplc="4A4CB94C" w:tentative="1">
      <w:start w:val="1"/>
      <w:numFmt w:val="decimal"/>
      <w:lvlText w:val="%7."/>
      <w:lvlJc w:val="left"/>
      <w:pPr>
        <w:ind w:left="5040" w:hanging="360"/>
      </w:pPr>
    </w:lvl>
    <w:lvl w:ilvl="7" w:tplc="40EC2248" w:tentative="1">
      <w:start w:val="1"/>
      <w:numFmt w:val="lowerLetter"/>
      <w:lvlText w:val="%8."/>
      <w:lvlJc w:val="left"/>
      <w:pPr>
        <w:ind w:left="5760" w:hanging="360"/>
      </w:pPr>
    </w:lvl>
    <w:lvl w:ilvl="8" w:tplc="65947F70" w:tentative="1">
      <w:start w:val="1"/>
      <w:numFmt w:val="lowerRoman"/>
      <w:lvlText w:val="%9."/>
      <w:lvlJc w:val="right"/>
      <w:pPr>
        <w:ind w:left="6480" w:hanging="180"/>
      </w:pPr>
    </w:lvl>
  </w:abstractNum>
  <w:abstractNum w:abstractNumId="6" w15:restartNumberingAfterBreak="0">
    <w:nsid w:val="556F4A91"/>
    <w:multiLevelType w:val="hybridMultilevel"/>
    <w:tmpl w:val="776CF8FE"/>
    <w:lvl w:ilvl="0" w:tplc="B81ED096">
      <w:start w:val="1"/>
      <w:numFmt w:val="decimal"/>
      <w:lvlText w:val="%1."/>
      <w:lvlJc w:val="left"/>
      <w:pPr>
        <w:ind w:left="720" w:hanging="360"/>
      </w:pPr>
      <w:rPr>
        <w:rFonts w:hint="default"/>
      </w:rPr>
    </w:lvl>
    <w:lvl w:ilvl="1" w:tplc="974AA0F8" w:tentative="1">
      <w:start w:val="1"/>
      <w:numFmt w:val="lowerLetter"/>
      <w:lvlText w:val="%2."/>
      <w:lvlJc w:val="left"/>
      <w:pPr>
        <w:ind w:left="1440" w:hanging="360"/>
      </w:pPr>
    </w:lvl>
    <w:lvl w:ilvl="2" w:tplc="B1C42DD0" w:tentative="1">
      <w:start w:val="1"/>
      <w:numFmt w:val="lowerRoman"/>
      <w:lvlText w:val="%3."/>
      <w:lvlJc w:val="right"/>
      <w:pPr>
        <w:ind w:left="2160" w:hanging="180"/>
      </w:pPr>
    </w:lvl>
    <w:lvl w:ilvl="3" w:tplc="D56E742E" w:tentative="1">
      <w:start w:val="1"/>
      <w:numFmt w:val="decimal"/>
      <w:lvlText w:val="%4."/>
      <w:lvlJc w:val="left"/>
      <w:pPr>
        <w:ind w:left="2880" w:hanging="360"/>
      </w:pPr>
    </w:lvl>
    <w:lvl w:ilvl="4" w:tplc="7BA86A12" w:tentative="1">
      <w:start w:val="1"/>
      <w:numFmt w:val="lowerLetter"/>
      <w:lvlText w:val="%5."/>
      <w:lvlJc w:val="left"/>
      <w:pPr>
        <w:ind w:left="3600" w:hanging="360"/>
      </w:pPr>
    </w:lvl>
    <w:lvl w:ilvl="5" w:tplc="B4223184" w:tentative="1">
      <w:start w:val="1"/>
      <w:numFmt w:val="lowerRoman"/>
      <w:lvlText w:val="%6."/>
      <w:lvlJc w:val="right"/>
      <w:pPr>
        <w:ind w:left="4320" w:hanging="180"/>
      </w:pPr>
    </w:lvl>
    <w:lvl w:ilvl="6" w:tplc="ECECC3E8" w:tentative="1">
      <w:start w:val="1"/>
      <w:numFmt w:val="decimal"/>
      <w:lvlText w:val="%7."/>
      <w:lvlJc w:val="left"/>
      <w:pPr>
        <w:ind w:left="5040" w:hanging="360"/>
      </w:pPr>
    </w:lvl>
    <w:lvl w:ilvl="7" w:tplc="52CE0C26" w:tentative="1">
      <w:start w:val="1"/>
      <w:numFmt w:val="lowerLetter"/>
      <w:lvlText w:val="%8."/>
      <w:lvlJc w:val="left"/>
      <w:pPr>
        <w:ind w:left="5760" w:hanging="360"/>
      </w:pPr>
    </w:lvl>
    <w:lvl w:ilvl="8" w:tplc="57A6FAF4" w:tentative="1">
      <w:start w:val="1"/>
      <w:numFmt w:val="lowerRoman"/>
      <w:lvlText w:val="%9."/>
      <w:lvlJc w:val="right"/>
      <w:pPr>
        <w:ind w:left="6480" w:hanging="180"/>
      </w:pPr>
    </w:lvl>
  </w:abstractNum>
  <w:abstractNum w:abstractNumId="7" w15:restartNumberingAfterBreak="0">
    <w:nsid w:val="6C315C7E"/>
    <w:multiLevelType w:val="hybridMultilevel"/>
    <w:tmpl w:val="3CFE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E0BB1"/>
    <w:multiLevelType w:val="hybridMultilevel"/>
    <w:tmpl w:val="776CF8FE"/>
    <w:lvl w:ilvl="0" w:tplc="61349D8A">
      <w:start w:val="1"/>
      <w:numFmt w:val="decimal"/>
      <w:lvlText w:val="%1."/>
      <w:lvlJc w:val="left"/>
      <w:pPr>
        <w:ind w:left="720" w:hanging="360"/>
      </w:pPr>
      <w:rPr>
        <w:rFonts w:hint="default"/>
      </w:rPr>
    </w:lvl>
    <w:lvl w:ilvl="1" w:tplc="4C302E0C" w:tentative="1">
      <w:start w:val="1"/>
      <w:numFmt w:val="lowerLetter"/>
      <w:lvlText w:val="%2."/>
      <w:lvlJc w:val="left"/>
      <w:pPr>
        <w:ind w:left="1440" w:hanging="360"/>
      </w:pPr>
    </w:lvl>
    <w:lvl w:ilvl="2" w:tplc="E17605B2" w:tentative="1">
      <w:start w:val="1"/>
      <w:numFmt w:val="lowerRoman"/>
      <w:lvlText w:val="%3."/>
      <w:lvlJc w:val="right"/>
      <w:pPr>
        <w:ind w:left="2160" w:hanging="180"/>
      </w:pPr>
    </w:lvl>
    <w:lvl w:ilvl="3" w:tplc="EB12BDAE" w:tentative="1">
      <w:start w:val="1"/>
      <w:numFmt w:val="decimal"/>
      <w:lvlText w:val="%4."/>
      <w:lvlJc w:val="left"/>
      <w:pPr>
        <w:ind w:left="2880" w:hanging="360"/>
      </w:pPr>
    </w:lvl>
    <w:lvl w:ilvl="4" w:tplc="6FDEEF86" w:tentative="1">
      <w:start w:val="1"/>
      <w:numFmt w:val="lowerLetter"/>
      <w:lvlText w:val="%5."/>
      <w:lvlJc w:val="left"/>
      <w:pPr>
        <w:ind w:left="3600" w:hanging="360"/>
      </w:pPr>
    </w:lvl>
    <w:lvl w:ilvl="5" w:tplc="9B00E0A2" w:tentative="1">
      <w:start w:val="1"/>
      <w:numFmt w:val="lowerRoman"/>
      <w:lvlText w:val="%6."/>
      <w:lvlJc w:val="right"/>
      <w:pPr>
        <w:ind w:left="4320" w:hanging="180"/>
      </w:pPr>
    </w:lvl>
    <w:lvl w:ilvl="6" w:tplc="40C42A2E" w:tentative="1">
      <w:start w:val="1"/>
      <w:numFmt w:val="decimal"/>
      <w:lvlText w:val="%7."/>
      <w:lvlJc w:val="left"/>
      <w:pPr>
        <w:ind w:left="5040" w:hanging="360"/>
      </w:pPr>
    </w:lvl>
    <w:lvl w:ilvl="7" w:tplc="84289CD2" w:tentative="1">
      <w:start w:val="1"/>
      <w:numFmt w:val="lowerLetter"/>
      <w:lvlText w:val="%8."/>
      <w:lvlJc w:val="left"/>
      <w:pPr>
        <w:ind w:left="5760" w:hanging="360"/>
      </w:pPr>
    </w:lvl>
    <w:lvl w:ilvl="8" w:tplc="CE5A0F30" w:tentative="1">
      <w:start w:val="1"/>
      <w:numFmt w:val="lowerRoman"/>
      <w:lvlText w:val="%9."/>
      <w:lvlJc w:val="right"/>
      <w:pPr>
        <w:ind w:left="6480" w:hanging="180"/>
      </w:pPr>
    </w:lvl>
  </w:abstractNum>
  <w:abstractNum w:abstractNumId="9" w15:restartNumberingAfterBreak="0">
    <w:nsid w:val="706A751A"/>
    <w:multiLevelType w:val="hybridMultilevel"/>
    <w:tmpl w:val="E88A9A10"/>
    <w:lvl w:ilvl="0" w:tplc="E44E07B8">
      <w:start w:val="1"/>
      <w:numFmt w:val="decimal"/>
      <w:lvlText w:val="%1."/>
      <w:lvlJc w:val="left"/>
      <w:pPr>
        <w:ind w:left="720" w:hanging="360"/>
      </w:pPr>
      <w:rPr>
        <w:rFonts w:hint="default"/>
      </w:rPr>
    </w:lvl>
    <w:lvl w:ilvl="1" w:tplc="808AA2B2" w:tentative="1">
      <w:start w:val="1"/>
      <w:numFmt w:val="lowerLetter"/>
      <w:lvlText w:val="%2."/>
      <w:lvlJc w:val="left"/>
      <w:pPr>
        <w:ind w:left="1440" w:hanging="360"/>
      </w:pPr>
    </w:lvl>
    <w:lvl w:ilvl="2" w:tplc="2E084D98" w:tentative="1">
      <w:start w:val="1"/>
      <w:numFmt w:val="lowerRoman"/>
      <w:lvlText w:val="%3."/>
      <w:lvlJc w:val="right"/>
      <w:pPr>
        <w:ind w:left="2160" w:hanging="180"/>
      </w:pPr>
    </w:lvl>
    <w:lvl w:ilvl="3" w:tplc="49887CDA" w:tentative="1">
      <w:start w:val="1"/>
      <w:numFmt w:val="decimal"/>
      <w:lvlText w:val="%4."/>
      <w:lvlJc w:val="left"/>
      <w:pPr>
        <w:ind w:left="2880" w:hanging="360"/>
      </w:pPr>
    </w:lvl>
    <w:lvl w:ilvl="4" w:tplc="1CD0D622" w:tentative="1">
      <w:start w:val="1"/>
      <w:numFmt w:val="lowerLetter"/>
      <w:lvlText w:val="%5."/>
      <w:lvlJc w:val="left"/>
      <w:pPr>
        <w:ind w:left="3600" w:hanging="360"/>
      </w:pPr>
    </w:lvl>
    <w:lvl w:ilvl="5" w:tplc="57909C50" w:tentative="1">
      <w:start w:val="1"/>
      <w:numFmt w:val="lowerRoman"/>
      <w:lvlText w:val="%6."/>
      <w:lvlJc w:val="right"/>
      <w:pPr>
        <w:ind w:left="4320" w:hanging="180"/>
      </w:pPr>
    </w:lvl>
    <w:lvl w:ilvl="6" w:tplc="24EA6C58" w:tentative="1">
      <w:start w:val="1"/>
      <w:numFmt w:val="decimal"/>
      <w:lvlText w:val="%7."/>
      <w:lvlJc w:val="left"/>
      <w:pPr>
        <w:ind w:left="5040" w:hanging="360"/>
      </w:pPr>
    </w:lvl>
    <w:lvl w:ilvl="7" w:tplc="E82EAEC2" w:tentative="1">
      <w:start w:val="1"/>
      <w:numFmt w:val="lowerLetter"/>
      <w:lvlText w:val="%8."/>
      <w:lvlJc w:val="left"/>
      <w:pPr>
        <w:ind w:left="5760" w:hanging="360"/>
      </w:pPr>
    </w:lvl>
    <w:lvl w:ilvl="8" w:tplc="C742A492" w:tentative="1">
      <w:start w:val="1"/>
      <w:numFmt w:val="lowerRoman"/>
      <w:lvlText w:val="%9."/>
      <w:lvlJc w:val="right"/>
      <w:pPr>
        <w:ind w:left="6480" w:hanging="180"/>
      </w:pPr>
    </w:lvl>
  </w:abstractNum>
  <w:num w:numId="1" w16cid:durableId="1170103257">
    <w:abstractNumId w:val="5"/>
  </w:num>
  <w:num w:numId="2" w16cid:durableId="763501755">
    <w:abstractNumId w:val="3"/>
  </w:num>
  <w:num w:numId="3" w16cid:durableId="1628195133">
    <w:abstractNumId w:val="4"/>
  </w:num>
  <w:num w:numId="4" w16cid:durableId="1717587347">
    <w:abstractNumId w:val="6"/>
  </w:num>
  <w:num w:numId="5" w16cid:durableId="178591150">
    <w:abstractNumId w:val="9"/>
  </w:num>
  <w:num w:numId="6" w16cid:durableId="75902138">
    <w:abstractNumId w:val="1"/>
  </w:num>
  <w:num w:numId="7" w16cid:durableId="1074812091">
    <w:abstractNumId w:val="8"/>
  </w:num>
  <w:num w:numId="8" w16cid:durableId="1407073217">
    <w:abstractNumId w:val="0"/>
  </w:num>
  <w:num w:numId="9" w16cid:durableId="1528984549">
    <w:abstractNumId w:val="7"/>
  </w:num>
  <w:num w:numId="10" w16cid:durableId="1216551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pdawxeb29depe2f5avx22fva2z02prwf2w&quot;&gt;LCH&lt;record-ids&gt;&lt;item&gt;41&lt;/item&gt;&lt;/record-ids&gt;&lt;/item&gt;&lt;/Libraries&gt;"/>
  </w:docVars>
  <w:rsids>
    <w:rsidRoot w:val="00A20882"/>
    <w:rsid w:val="0000669D"/>
    <w:rsid w:val="00032BBB"/>
    <w:rsid w:val="000E3A2C"/>
    <w:rsid w:val="000E4921"/>
    <w:rsid w:val="00124F9C"/>
    <w:rsid w:val="00145331"/>
    <w:rsid w:val="001725D2"/>
    <w:rsid w:val="00295A84"/>
    <w:rsid w:val="00300112"/>
    <w:rsid w:val="0032174F"/>
    <w:rsid w:val="004B1255"/>
    <w:rsid w:val="004C0D98"/>
    <w:rsid w:val="004E16FC"/>
    <w:rsid w:val="005A797C"/>
    <w:rsid w:val="005D1C46"/>
    <w:rsid w:val="005E46C3"/>
    <w:rsid w:val="005F588D"/>
    <w:rsid w:val="00607C8A"/>
    <w:rsid w:val="00653100"/>
    <w:rsid w:val="00655966"/>
    <w:rsid w:val="006A367B"/>
    <w:rsid w:val="006B6460"/>
    <w:rsid w:val="006C10F8"/>
    <w:rsid w:val="00785B5C"/>
    <w:rsid w:val="007F7475"/>
    <w:rsid w:val="00802D8E"/>
    <w:rsid w:val="008B169A"/>
    <w:rsid w:val="00945FC3"/>
    <w:rsid w:val="009518DD"/>
    <w:rsid w:val="00963041"/>
    <w:rsid w:val="009D6AF6"/>
    <w:rsid w:val="00A20882"/>
    <w:rsid w:val="00A24CB3"/>
    <w:rsid w:val="00A52CBE"/>
    <w:rsid w:val="00AD2A84"/>
    <w:rsid w:val="00B7002F"/>
    <w:rsid w:val="00B7530D"/>
    <w:rsid w:val="00BA7813"/>
    <w:rsid w:val="00BB6888"/>
    <w:rsid w:val="00BD745F"/>
    <w:rsid w:val="00BF3B46"/>
    <w:rsid w:val="00C65603"/>
    <w:rsid w:val="00C71C24"/>
    <w:rsid w:val="00CA79A6"/>
    <w:rsid w:val="00CC47BC"/>
    <w:rsid w:val="00CD2481"/>
    <w:rsid w:val="00CD534C"/>
    <w:rsid w:val="00CF1242"/>
    <w:rsid w:val="00D14DAA"/>
    <w:rsid w:val="00D44EEF"/>
    <w:rsid w:val="00D66AF1"/>
    <w:rsid w:val="00D87B20"/>
    <w:rsid w:val="00E07270"/>
    <w:rsid w:val="00E14269"/>
    <w:rsid w:val="00E8490C"/>
    <w:rsid w:val="00EB62CC"/>
    <w:rsid w:val="00F3210D"/>
    <w:rsid w:val="00F424E3"/>
    <w:rsid w:val="00F921CC"/>
    <w:rsid w:val="00FA0533"/>
    <w:rsid w:val="00FD1E5B"/>
    <w:rsid w:val="00FD2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D97BE"/>
  <w15:chartTrackingRefBased/>
  <w15:docId w15:val="{FAD579F7-D11F-C64D-B2E6-42EDBB47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88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CC47BC"/>
    <w:pPr>
      <w:keepNext/>
      <w:keepLines/>
      <w:spacing w:before="200" w:line="480" w:lineRule="auto"/>
      <w:outlineLvl w:val="1"/>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7BC"/>
    <w:pPr>
      <w:ind w:left="720"/>
      <w:contextualSpacing/>
    </w:pPr>
  </w:style>
  <w:style w:type="character" w:styleId="Hyperlink">
    <w:name w:val="Hyperlink"/>
    <w:basedOn w:val="DefaultParagraphFont"/>
    <w:uiPriority w:val="99"/>
    <w:unhideWhenUsed/>
    <w:rsid w:val="00CC47BC"/>
    <w:rPr>
      <w:color w:val="0563C1" w:themeColor="hyperlink"/>
      <w:u w:val="single"/>
    </w:rPr>
  </w:style>
  <w:style w:type="character" w:customStyle="1" w:styleId="Heading2Char">
    <w:name w:val="Heading 2 Char"/>
    <w:basedOn w:val="DefaultParagraphFont"/>
    <w:link w:val="Heading2"/>
    <w:uiPriority w:val="99"/>
    <w:rsid w:val="00CC47BC"/>
    <w:rPr>
      <w:rFonts w:ascii="Times New Roman" w:eastAsiaTheme="majorEastAsia" w:hAnsi="Times New Roman" w:cs="Times New Roman"/>
      <w:b/>
      <w:bCs/>
      <w:sz w:val="28"/>
      <w:szCs w:val="28"/>
      <w:lang w:val="en-US"/>
    </w:rPr>
  </w:style>
  <w:style w:type="table" w:customStyle="1" w:styleId="TableGrid1">
    <w:name w:val="Table Grid1"/>
    <w:basedOn w:val="TableNormal"/>
    <w:next w:val="TableGrid"/>
    <w:uiPriority w:val="39"/>
    <w:rsid w:val="00945F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4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21CC"/>
    <w:rPr>
      <w:sz w:val="16"/>
      <w:szCs w:val="16"/>
    </w:rPr>
  </w:style>
  <w:style w:type="paragraph" w:styleId="CommentText">
    <w:name w:val="annotation text"/>
    <w:basedOn w:val="Normal"/>
    <w:link w:val="CommentTextChar"/>
    <w:uiPriority w:val="99"/>
    <w:unhideWhenUsed/>
    <w:rsid w:val="00F921CC"/>
    <w:rPr>
      <w:sz w:val="20"/>
      <w:szCs w:val="20"/>
    </w:rPr>
  </w:style>
  <w:style w:type="character" w:customStyle="1" w:styleId="CommentTextChar">
    <w:name w:val="Comment Text Char"/>
    <w:basedOn w:val="DefaultParagraphFont"/>
    <w:link w:val="CommentText"/>
    <w:uiPriority w:val="99"/>
    <w:rsid w:val="00F921CC"/>
    <w:rPr>
      <w:sz w:val="20"/>
      <w:szCs w:val="20"/>
    </w:rPr>
  </w:style>
  <w:style w:type="paragraph" w:styleId="CommentSubject">
    <w:name w:val="annotation subject"/>
    <w:basedOn w:val="CommentText"/>
    <w:next w:val="CommentText"/>
    <w:link w:val="CommentSubjectChar"/>
    <w:uiPriority w:val="99"/>
    <w:semiHidden/>
    <w:unhideWhenUsed/>
    <w:rsid w:val="00F921CC"/>
    <w:rPr>
      <w:b/>
      <w:bCs/>
    </w:rPr>
  </w:style>
  <w:style w:type="character" w:customStyle="1" w:styleId="CommentSubjectChar">
    <w:name w:val="Comment Subject Char"/>
    <w:basedOn w:val="CommentTextChar"/>
    <w:link w:val="CommentSubject"/>
    <w:uiPriority w:val="99"/>
    <w:semiHidden/>
    <w:rsid w:val="00F921CC"/>
    <w:rPr>
      <w:b/>
      <w:bCs/>
      <w:sz w:val="20"/>
      <w:szCs w:val="20"/>
    </w:rPr>
  </w:style>
  <w:style w:type="paragraph" w:styleId="BalloonText">
    <w:name w:val="Balloon Text"/>
    <w:basedOn w:val="Normal"/>
    <w:link w:val="BalloonTextChar"/>
    <w:uiPriority w:val="99"/>
    <w:semiHidden/>
    <w:unhideWhenUsed/>
    <w:rsid w:val="00F92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1CC"/>
    <w:rPr>
      <w:rFonts w:ascii="Segoe UI" w:hAnsi="Segoe UI" w:cs="Segoe UI"/>
      <w:sz w:val="18"/>
      <w:szCs w:val="18"/>
    </w:rPr>
  </w:style>
  <w:style w:type="paragraph" w:styleId="Header">
    <w:name w:val="header"/>
    <w:basedOn w:val="Normal"/>
    <w:link w:val="HeaderChar"/>
    <w:uiPriority w:val="99"/>
    <w:unhideWhenUsed/>
    <w:rsid w:val="00653100"/>
    <w:pPr>
      <w:tabs>
        <w:tab w:val="center" w:pos="4680"/>
        <w:tab w:val="right" w:pos="9360"/>
      </w:tabs>
    </w:pPr>
  </w:style>
  <w:style w:type="character" w:customStyle="1" w:styleId="HeaderChar">
    <w:name w:val="Header Char"/>
    <w:basedOn w:val="DefaultParagraphFont"/>
    <w:link w:val="Header"/>
    <w:uiPriority w:val="99"/>
    <w:rsid w:val="00653100"/>
  </w:style>
  <w:style w:type="paragraph" w:styleId="Footer">
    <w:name w:val="footer"/>
    <w:basedOn w:val="Normal"/>
    <w:link w:val="FooterChar"/>
    <w:uiPriority w:val="99"/>
    <w:unhideWhenUsed/>
    <w:rsid w:val="00653100"/>
    <w:pPr>
      <w:tabs>
        <w:tab w:val="center" w:pos="4680"/>
        <w:tab w:val="right" w:pos="9360"/>
      </w:tabs>
    </w:pPr>
  </w:style>
  <w:style w:type="character" w:customStyle="1" w:styleId="FooterChar">
    <w:name w:val="Footer Char"/>
    <w:basedOn w:val="DefaultParagraphFont"/>
    <w:link w:val="Footer"/>
    <w:uiPriority w:val="99"/>
    <w:rsid w:val="00653100"/>
  </w:style>
  <w:style w:type="paragraph" w:customStyle="1" w:styleId="preflight-heading">
    <w:name w:val="preflight-heading"/>
    <w:pPr>
      <w:spacing w:before="60" w:after="60"/>
    </w:pPr>
    <w:rPr>
      <w:b/>
      <w:color w:val="000000"/>
      <w:sz w:val="20"/>
    </w:rPr>
  </w:style>
  <w:style w:type="paragraph" w:customStyle="1" w:styleId="preflight-description">
    <w:name w:val="preflight-description"/>
    <w:pPr>
      <w:spacing w:before="60" w:after="60"/>
    </w:pPr>
    <w:rPr>
      <w:color w:val="000000"/>
      <w:sz w:val="20"/>
    </w:rPr>
  </w:style>
  <w:style w:type="paragraph" w:customStyle="1" w:styleId="preflight-link">
    <w:name w:val="preflight-link"/>
    <w:pPr>
      <w:spacing w:before="60" w:after="60"/>
    </w:pPr>
    <w:rPr>
      <w:color w:val="0000FF"/>
      <w:sz w:val="20"/>
      <w:u w:val="single"/>
    </w:rPr>
  </w:style>
  <w:style w:type="paragraph" w:customStyle="1" w:styleId="preflight-example">
    <w:name w:val="preflight-example"/>
    <w:pPr>
      <w:spacing w:before="180" w:after="60"/>
    </w:pPr>
    <w:rPr>
      <w:i/>
      <w:color w:val="000000"/>
      <w:sz w:val="20"/>
    </w:rPr>
  </w:style>
  <w:style w:type="character" w:customStyle="1" w:styleId="Heading1Char">
    <w:name w:val="Heading 1 Char"/>
    <w:basedOn w:val="DefaultParagraphFont"/>
    <w:link w:val="Heading1"/>
    <w:uiPriority w:val="9"/>
    <w:rsid w:val="005F58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othmanaa@ngha.med.sa"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EDD-0F4E-8BB6-E4DA37BCADF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EDD-0F4E-8BB6-E4DA37BCADF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EDD-0F4E-8BB6-E4DA37BCADF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EDD-0F4E-8BB6-E4DA37BCADF8}"/>
              </c:ext>
            </c:extLst>
          </c:dPt>
          <c:dLbls>
            <c:dLbl>
              <c:idx val="0"/>
              <c:layout>
                <c:manualLayout>
                  <c:x val="2.8248587570621469E-3"/>
                  <c:y val="8.205128205128201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1EDD-0F4E-8BB6-E4DA37BCADF8}"/>
                </c:ext>
              </c:extLst>
            </c:dLbl>
            <c:dLbl>
              <c:idx val="1"/>
              <c:layout>
                <c:manualLayout>
                  <c:x val="-8.4745762711864431E-2"/>
                  <c:y val="-6.153846153846154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EDD-0F4E-8BB6-E4DA37BCADF8}"/>
                </c:ext>
              </c:extLst>
            </c:dLbl>
            <c:dLbl>
              <c:idx val="2"/>
              <c:layout>
                <c:manualLayout>
                  <c:x val="-5.6497175141242938E-2"/>
                  <c:y val="0.29230769230769227"/>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1EDD-0F4E-8BB6-E4DA37BCADF8}"/>
                </c:ext>
              </c:extLst>
            </c:dLbl>
            <c:dLbl>
              <c:idx val="3"/>
              <c:layout>
                <c:manualLayout>
                  <c:x val="-0.1751412429378531"/>
                  <c:y val="0"/>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1EDD-0F4E-8BB6-E4DA37BCADF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Multi- system Ro+ve</c:v>
                </c:pt>
                <c:pt idx="1">
                  <c:v>Single-system unifocal</c:v>
                </c:pt>
                <c:pt idx="2">
                  <c:v>Multi-focal single system</c:v>
                </c:pt>
                <c:pt idx="3">
                  <c:v>Multi- system Ro-ve</c:v>
                </c:pt>
              </c:strCache>
            </c:strRef>
          </c:cat>
          <c:val>
            <c:numRef>
              <c:f>Sheet1!$B$2:$B$5</c:f>
              <c:numCache>
                <c:formatCode>###0</c:formatCode>
                <c:ptCount val="4"/>
                <c:pt idx="0">
                  <c:v>13</c:v>
                </c:pt>
                <c:pt idx="1">
                  <c:v>12</c:v>
                </c:pt>
                <c:pt idx="2">
                  <c:v>7</c:v>
                </c:pt>
                <c:pt idx="3">
                  <c:v>1</c:v>
                </c:pt>
              </c:numCache>
            </c:numRef>
          </c:val>
          <c:extLst>
            <c:ext xmlns:c16="http://schemas.microsoft.com/office/drawing/2014/chart" uri="{C3380CC4-5D6E-409C-BE32-E72D297353CC}">
              <c16:uniqueId val="{00000008-1EDD-0F4E-8BB6-E4DA37BCADF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22225">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B7-9B4E-BDDC-2CB2518789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B7-9B4E-BDDC-2CB2518789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CB7-9B4E-BDDC-2CB2518789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CB7-9B4E-BDDC-2CB25187898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CB7-9B4E-BDDC-2CB251878989}"/>
              </c:ext>
            </c:extLst>
          </c:dPt>
          <c:dLbls>
            <c:dLbl>
              <c:idx val="0"/>
              <c:layout>
                <c:manualLayout>
                  <c:x val="0.10693152279634673"/>
                  <c:y val="-0.20713065665553415"/>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CB7-9B4E-BDDC-2CB251878989}"/>
                </c:ext>
              </c:extLst>
            </c:dLbl>
            <c:dLbl>
              <c:idx val="1"/>
              <c:layout>
                <c:manualLayout>
                  <c:x val="-1.2480684677237402E-2"/>
                  <c:y val="9.595215458748770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6CB7-9B4E-BDDC-2CB251878989}"/>
                </c:ext>
              </c:extLst>
            </c:dLbl>
            <c:dLbl>
              <c:idx val="2"/>
              <c:layout>
                <c:manualLayout>
                  <c:x val="-3.9468290638965051E-2"/>
                  <c:y val="-3.0510876542908915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6CB7-9B4E-BDDC-2CB251878989}"/>
                </c:ext>
              </c:extLst>
            </c:dLbl>
            <c:dLbl>
              <c:idx val="4"/>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r>
                      <a:rPr lang="en-US" sz="1000" b="1">
                        <a:solidFill>
                          <a:schemeClr val="bg1"/>
                        </a:solidFill>
                      </a:rPr>
                      <a:t>Hypertensive</a:t>
                    </a:r>
                    <a:r>
                      <a:rPr lang="en-US" sz="1000" b="1" baseline="0">
                        <a:solidFill>
                          <a:schemeClr val="bg1"/>
                        </a:solidFill>
                      </a:rPr>
                      <a:t>, </a:t>
                    </a:r>
                    <a:fld id="{67D1E5DE-6A02-432E-94CA-DECAE5F63A43}" type="VALUE">
                      <a:rPr lang="en-US" sz="1000" b="1" baseline="0">
                        <a:solidFill>
                          <a:schemeClr val="bg1"/>
                        </a:solidFill>
                      </a:rPr>
                      <a:pPr>
                        <a:defRPr sz="1000" b="1">
                          <a:solidFill>
                            <a:schemeClr val="bg1"/>
                          </a:solidFill>
                        </a:defRPr>
                      </a:pPr>
                      <a:t>[VALUE]</a:t>
                    </a:fld>
                    <a:r>
                      <a:rPr lang="en-US" sz="1000" b="1" baseline="0">
                        <a:solidFill>
                          <a:schemeClr val="bg1"/>
                        </a:solidFill>
                      </a:rPr>
                      <a:t>, </a:t>
                    </a:r>
                    <a:fld id="{09544B91-437D-4AAE-B5C8-3BD013ECF8CA}" type="PERCENTAGE">
                      <a:rPr lang="en-US" sz="1000" b="1" baseline="0">
                        <a:solidFill>
                          <a:schemeClr val="bg1"/>
                        </a:solidFill>
                      </a:rPr>
                      <a:pPr>
                        <a:defRPr sz="1000" b="1">
                          <a:solidFill>
                            <a:schemeClr val="bg1"/>
                          </a:solidFill>
                        </a:defRPr>
                      </a:pPr>
                      <a:t>[PERCENTAGE]</a:t>
                    </a:fld>
                    <a:endParaRPr lang="en-US" sz="1000" b="1" baseline="0">
                      <a:solidFill>
                        <a:schemeClr val="bg1"/>
                      </a:solidFill>
                    </a:endParaRP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6CB7-9B4E-BDDC-2CB25187898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separator>, </c:separator>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Alive in CR</c:v>
                </c:pt>
                <c:pt idx="1">
                  <c:v>Alive with disease</c:v>
                </c:pt>
                <c:pt idx="2">
                  <c:v>Died</c:v>
                </c:pt>
              </c:strCache>
            </c:strRef>
          </c:cat>
          <c:val>
            <c:numRef>
              <c:f>Sheet1!$B$2:$B$4</c:f>
              <c:numCache>
                <c:formatCode>General</c:formatCode>
                <c:ptCount val="3"/>
                <c:pt idx="0">
                  <c:v>28</c:v>
                </c:pt>
                <c:pt idx="1">
                  <c:v>3</c:v>
                </c:pt>
                <c:pt idx="2">
                  <c:v>2</c:v>
                </c:pt>
              </c:numCache>
            </c:numRef>
          </c:val>
          <c:extLst>
            <c:ext xmlns:c16="http://schemas.microsoft.com/office/drawing/2014/chart" uri="{C3380CC4-5D6E-409C-BE32-E72D297353CC}">
              <c16:uniqueId val="{0000000A-6CB7-9B4E-BDDC-2CB25187898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22225">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042305AF4384DB245EBD092E2B613" ma:contentTypeVersion="3" ma:contentTypeDescription="Create a new document." ma:contentTypeScope="" ma:versionID="3e35031766435d3a3492e1baf3edd308">
  <xsd:schema xmlns:xsd="http://www.w3.org/2001/XMLSchema" xmlns:xs="http://www.w3.org/2001/XMLSchema" xmlns:p="http://schemas.microsoft.com/office/2006/metadata/properties" xmlns:ns3="03de0cc4-4c2a-4d6b-a303-df74c304761b" targetNamespace="http://schemas.microsoft.com/office/2006/metadata/properties" ma:root="true" ma:fieldsID="08c1a2548db9b97eec30299da667f34a" ns3:_="">
    <xsd:import namespace="03de0cc4-4c2a-4d6b-a303-df74c304761b"/>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0cc4-4c2a-4d6b-a303-df74c3047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{0BD0BDF9-572A-479B-A960-F49219280F11}</b:Guid>
    <b:RefOrder>1</b:RefOrder>
  </b:Source>
</b:Sources>
</file>

<file path=customXml/itemProps1.xml><?xml version="1.0" encoding="utf-8"?>
<ds:datastoreItem xmlns:ds="http://schemas.openxmlformats.org/officeDocument/2006/customXml" ds:itemID="{41CC1FD3-3500-45CE-9ED6-4F4B1A5461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AB0D83-AC48-4F6A-9527-4180E266C5FA}">
  <ds:schemaRefs>
    <ds:schemaRef ds:uri="http://schemas.microsoft.com/sharepoint/v3/contenttype/forms"/>
  </ds:schemaRefs>
</ds:datastoreItem>
</file>

<file path=customXml/itemProps3.xml><?xml version="1.0" encoding="utf-8"?>
<ds:datastoreItem xmlns:ds="http://schemas.openxmlformats.org/officeDocument/2006/customXml" ds:itemID="{5F7BC6B9-16AB-4CF6-8001-762D0DC2A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0cc4-4c2a-4d6b-a303-df74c304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1C2BD-9A03-473A-8DB1-DD7283D3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15295</Words>
  <Characters>87184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5007</dc:creator>
  <cp:lastModifiedBy>MELAD ABDULLAH ABU BAKR BAOTHMAN</cp:lastModifiedBy>
  <cp:revision>2</cp:revision>
  <cp:lastPrinted>2023-11-13T21:54:00Z</cp:lastPrinted>
  <dcterms:created xsi:type="dcterms:W3CDTF">2023-11-24T05:57:00Z</dcterms:created>
  <dcterms:modified xsi:type="dcterms:W3CDTF">2023-11-24T05:57:00Z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Vancouver</vt:lpwstr>
  </property>
  <property fmtid="{D5CDD505-2E9C-101B-9397-08002B2CF9AE}" pid="24" name="Mendeley Unique User Id_1">
    <vt:lpwstr>88e00370-87c4-37a8-aec3-0c6c99d48813</vt:lpwstr>
  </property>
  <property fmtid="{D5CDD505-2E9C-101B-9397-08002B2CF9AE}" pid="25" name="ContentTypeId">
    <vt:lpwstr>0x010100FFA042305AF4384DB245EBD092E2B613</vt:lpwstr>
  </property>
</Properties>
</file>