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891E" w14:textId="3B3B08D4" w:rsidR="00044040" w:rsidRPr="0010747F" w:rsidRDefault="0010747F" w:rsidP="008244E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 w:rsidRPr="0010747F">
        <w:rPr>
          <w:b/>
          <w:bCs/>
          <w:sz w:val="32"/>
          <w:szCs w:val="32"/>
        </w:rPr>
        <w:t xml:space="preserve">HOW CAN WE MODEL MUTATIONS IN ANCIENT CONSERVED HUMAN DISEASE GENES? A CASE STUDY IN </w:t>
      </w:r>
      <w:r w:rsidRPr="0010747F">
        <w:rPr>
          <w:b/>
          <w:bCs/>
          <w:i/>
          <w:iCs/>
          <w:sz w:val="32"/>
          <w:szCs w:val="32"/>
        </w:rPr>
        <w:t>C. ELEGANS</w:t>
      </w:r>
    </w:p>
    <w:p w14:paraId="245CDDB8" w14:textId="77777777" w:rsidR="008244E4" w:rsidRDefault="008244E4" w:rsidP="007B25E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3"/>
          <w:szCs w:val="23"/>
        </w:rPr>
      </w:pPr>
    </w:p>
    <w:p w14:paraId="3BB8D615" w14:textId="6EA25F31" w:rsidR="00D5524A" w:rsidRPr="00BE2CBC" w:rsidRDefault="00D5524A" w:rsidP="00BE2CBC">
      <w:pPr>
        <w:jc w:val="both"/>
      </w:pPr>
      <w:r w:rsidRPr="00BE2CBC">
        <w:t>Krisztina Takács-Vellai</w:t>
      </w:r>
      <w:r w:rsidRPr="00BE2CBC">
        <w:rPr>
          <w:vertAlign w:val="superscript"/>
        </w:rPr>
        <w:t>1</w:t>
      </w:r>
      <w:r w:rsidRPr="00BE2CBC">
        <w:t xml:space="preserve">, </w:t>
      </w:r>
      <w:proofErr w:type="spellStart"/>
      <w:r w:rsidRPr="00BE2CBC">
        <w:t>Zsolt</w:t>
      </w:r>
      <w:proofErr w:type="spellEnd"/>
      <w:r w:rsidRPr="00BE2CBC">
        <w:t xml:space="preserve"> Farkas</w:t>
      </w:r>
      <w:r w:rsidRPr="00BE2CBC">
        <w:rPr>
          <w:vertAlign w:val="superscript"/>
        </w:rPr>
        <w:t>1</w:t>
      </w:r>
      <w:r w:rsidRPr="00BE2CBC">
        <w:t>, Fanni Ősz</w:t>
      </w:r>
      <w:r w:rsidRPr="00BE2CBC">
        <w:rPr>
          <w:vertAlign w:val="superscript"/>
        </w:rPr>
        <w:t>1</w:t>
      </w:r>
    </w:p>
    <w:p w14:paraId="3CF9B334" w14:textId="77777777" w:rsidR="00D5524A" w:rsidRPr="00BE2CBC" w:rsidRDefault="00D5524A" w:rsidP="00BE2CBC">
      <w:pPr>
        <w:jc w:val="both"/>
      </w:pPr>
    </w:p>
    <w:p w14:paraId="525CA7FC" w14:textId="77777777" w:rsidR="00D5524A" w:rsidRPr="00BE2CBC" w:rsidRDefault="00D5524A" w:rsidP="00BE2CBC">
      <w:pPr>
        <w:jc w:val="both"/>
      </w:pPr>
      <w:r w:rsidRPr="00BE2CBC">
        <w:rPr>
          <w:vertAlign w:val="superscript"/>
        </w:rPr>
        <w:t>1</w:t>
      </w:r>
      <w:r w:rsidRPr="00BE2CBC">
        <w:t>Department of Biological Anthropology, Eötvös Loránd University, Budapest, Hungary</w:t>
      </w:r>
    </w:p>
    <w:p w14:paraId="64139D8B" w14:textId="77777777" w:rsidR="00044040" w:rsidRPr="00BE2CBC" w:rsidRDefault="00044040" w:rsidP="00BE2CB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highlight w:val="white"/>
        </w:rPr>
      </w:pPr>
    </w:p>
    <w:p w14:paraId="10C6ABDA" w14:textId="590FDEE9" w:rsidR="003C415F" w:rsidRPr="009178E2" w:rsidRDefault="0074157D" w:rsidP="00BE2CBC">
      <w:pPr>
        <w:suppressLineNumbers/>
        <w:spacing w:line="480" w:lineRule="auto"/>
        <w:jc w:val="both"/>
        <w:rPr>
          <w:b/>
          <w:sz w:val="28"/>
          <w:szCs w:val="28"/>
        </w:rPr>
      </w:pPr>
      <w:r w:rsidRPr="009178E2">
        <w:rPr>
          <w:b/>
          <w:sz w:val="28"/>
          <w:szCs w:val="28"/>
        </w:rPr>
        <w:t>Abstract</w:t>
      </w:r>
    </w:p>
    <w:p w14:paraId="6E56779D" w14:textId="1465B57A" w:rsidR="003C415F" w:rsidRPr="00BE2CBC" w:rsidRDefault="003C415F" w:rsidP="00DD3143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hu-HU"/>
        </w:rPr>
      </w:pPr>
      <w:r w:rsidRPr="00BE2CBC">
        <w:rPr>
          <w:b/>
          <w:bCs/>
          <w:color w:val="000000"/>
        </w:rPr>
        <w:t>Background</w:t>
      </w:r>
      <w:r w:rsidRPr="00BE2CBC">
        <w:rPr>
          <w:lang w:val="hu-HU"/>
        </w:rPr>
        <w:t xml:space="preserve">: </w:t>
      </w:r>
      <w:r w:rsidR="0074157D" w:rsidRPr="00BE2CBC">
        <w:rPr>
          <w:bCs/>
        </w:rPr>
        <w:t xml:space="preserve">The conserved B-subunit of succinate dehydrogenase (SDH) participates in the TCA cycle and mitochondrial electron transport. The Arg230His mutation in SDHB causes heritable pheochromocytoma/paraganglioma (PPGL). </w:t>
      </w:r>
      <w:bookmarkStart w:id="0" w:name="_Hlk46325727"/>
    </w:p>
    <w:p w14:paraId="1274363E" w14:textId="30541638" w:rsidR="00F25304" w:rsidRPr="00BE2CBC" w:rsidRDefault="003C415F" w:rsidP="00DD3143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hu-HU"/>
        </w:rPr>
      </w:pPr>
      <w:r w:rsidRPr="00BE2CBC">
        <w:rPr>
          <w:b/>
        </w:rPr>
        <w:t>Objectives</w:t>
      </w:r>
      <w:r w:rsidRPr="00BE2CBC">
        <w:rPr>
          <w:bCs/>
        </w:rPr>
        <w:t xml:space="preserve">: </w:t>
      </w:r>
      <w:r w:rsidR="009769FC">
        <w:t>Simple animal models can be useful in the study of rare diseases thus</w:t>
      </w:r>
      <w:r w:rsidR="00F25304" w:rsidRPr="00BE2CBC">
        <w:rPr>
          <w:bCs/>
        </w:rPr>
        <w:t xml:space="preserve"> </w:t>
      </w:r>
      <w:r w:rsidR="0074157D" w:rsidRPr="00BE2CBC">
        <w:rPr>
          <w:bCs/>
        </w:rPr>
        <w:t>we generated a</w:t>
      </w:r>
      <w:r w:rsidR="0050439C" w:rsidRPr="00BE2CBC">
        <w:rPr>
          <w:bCs/>
        </w:rPr>
        <w:t>n</w:t>
      </w:r>
      <w:r w:rsidR="0074157D" w:rsidRPr="00BE2CBC">
        <w:rPr>
          <w:bCs/>
        </w:rPr>
        <w:t xml:space="preserve"> </w:t>
      </w:r>
      <w:r w:rsidR="0074157D" w:rsidRPr="00BE2CBC">
        <w:rPr>
          <w:bCs/>
          <w:i/>
        </w:rPr>
        <w:t>in vivo</w:t>
      </w:r>
      <w:r w:rsidR="0074157D" w:rsidRPr="00BE2CBC">
        <w:rPr>
          <w:bCs/>
        </w:rPr>
        <w:t xml:space="preserve"> PPGL model (SDHB-1 Arg244His; equivalent to human Arg230His)</w:t>
      </w:r>
      <w:r w:rsidR="009769FC">
        <w:rPr>
          <w:bCs/>
        </w:rPr>
        <w:t xml:space="preserve"> in the </w:t>
      </w:r>
      <w:r w:rsidR="009769FC" w:rsidRPr="00BE2CBC">
        <w:rPr>
          <w:bCs/>
        </w:rPr>
        <w:t xml:space="preserve">nematode </w:t>
      </w:r>
      <w:r w:rsidR="009769FC" w:rsidRPr="00BE2CBC">
        <w:rPr>
          <w:bCs/>
          <w:i/>
        </w:rPr>
        <w:t>C. elegans</w:t>
      </w:r>
      <w:r w:rsidR="009769FC">
        <w:rPr>
          <w:bCs/>
        </w:rPr>
        <w:t>.</w:t>
      </w:r>
    </w:p>
    <w:p w14:paraId="014CC0E0" w14:textId="1465B57A" w:rsidR="008F17BC" w:rsidRPr="00BE2CBC" w:rsidRDefault="00F25304" w:rsidP="00DD3143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hu-HU"/>
        </w:rPr>
      </w:pPr>
      <w:r w:rsidRPr="00BE2CBC">
        <w:rPr>
          <w:b/>
        </w:rPr>
        <w:t>Methods</w:t>
      </w:r>
      <w:r w:rsidRPr="00BE2CBC">
        <w:rPr>
          <w:bCs/>
        </w:rPr>
        <w:t>:</w:t>
      </w:r>
      <w:r w:rsidR="00683666" w:rsidRPr="00BE2CBC">
        <w:rPr>
          <w:bCs/>
        </w:rPr>
        <w:t xml:space="preserve"> LC-MS, Seahorse </w:t>
      </w:r>
      <w:r w:rsidR="008561D7">
        <w:rPr>
          <w:bCs/>
        </w:rPr>
        <w:t xml:space="preserve">and </w:t>
      </w:r>
      <w:proofErr w:type="spellStart"/>
      <w:r w:rsidR="00282657">
        <w:rPr>
          <w:bCs/>
        </w:rPr>
        <w:t>RNAseq</w:t>
      </w:r>
      <w:proofErr w:type="spellEnd"/>
      <w:r w:rsidR="00683666" w:rsidRPr="00BE2CBC">
        <w:rPr>
          <w:bCs/>
        </w:rPr>
        <w:t xml:space="preserve"> were</w:t>
      </w:r>
      <w:r w:rsidR="0074157D" w:rsidRPr="00BE2CBC">
        <w:rPr>
          <w:bCs/>
        </w:rPr>
        <w:t xml:space="preserve"> </w:t>
      </w:r>
      <w:r w:rsidR="00683666" w:rsidRPr="00BE2CBC">
        <w:rPr>
          <w:bCs/>
        </w:rPr>
        <w:t>used to characterize the</w:t>
      </w:r>
      <w:r w:rsidR="008F17BC" w:rsidRPr="00BE2CBC">
        <w:rPr>
          <w:bCs/>
        </w:rPr>
        <w:t xml:space="preserve"> metabolism of </w:t>
      </w:r>
      <w:r w:rsidR="008561D7" w:rsidRPr="008561D7">
        <w:rPr>
          <w:bCs/>
          <w:i/>
          <w:iCs/>
        </w:rPr>
        <w:t>sdhb-1(</w:t>
      </w:r>
      <w:r w:rsidR="008F17BC" w:rsidRPr="008561D7">
        <w:rPr>
          <w:bCs/>
          <w:i/>
          <w:iCs/>
        </w:rPr>
        <w:t>Arg244His</w:t>
      </w:r>
      <w:r w:rsidR="008561D7" w:rsidRPr="008561D7">
        <w:rPr>
          <w:bCs/>
          <w:i/>
          <w:iCs/>
        </w:rPr>
        <w:t>)</w:t>
      </w:r>
      <w:r w:rsidR="008561D7">
        <w:rPr>
          <w:bCs/>
        </w:rPr>
        <w:t xml:space="preserve"> and</w:t>
      </w:r>
      <w:r w:rsidR="008F17BC" w:rsidRPr="00BE2CBC">
        <w:rPr>
          <w:bCs/>
        </w:rPr>
        <w:t xml:space="preserve"> </w:t>
      </w:r>
      <w:r w:rsidR="008F17BC" w:rsidRPr="00BE2CBC">
        <w:rPr>
          <w:bCs/>
          <w:i/>
          <w:iCs/>
        </w:rPr>
        <w:t>sdhb-1(-)</w:t>
      </w:r>
      <w:r w:rsidR="00810C45">
        <w:rPr>
          <w:bCs/>
          <w:i/>
          <w:iCs/>
        </w:rPr>
        <w:t xml:space="preserve"> </w:t>
      </w:r>
      <w:r w:rsidR="008F17BC" w:rsidRPr="00BE2CBC">
        <w:rPr>
          <w:bCs/>
        </w:rPr>
        <w:t xml:space="preserve">mutants. </w:t>
      </w:r>
      <w:bookmarkEnd w:id="0"/>
      <w:r w:rsidR="00282657">
        <w:rPr>
          <w:bCs/>
        </w:rPr>
        <w:t>T</w:t>
      </w:r>
      <w:r w:rsidR="00282657" w:rsidRPr="00BE2CBC">
        <w:rPr>
          <w:bCs/>
        </w:rPr>
        <w:t xml:space="preserve">he number of functional mitochondria </w:t>
      </w:r>
      <w:r w:rsidR="00D36D57" w:rsidRPr="00BE2CBC">
        <w:rPr>
          <w:bCs/>
        </w:rPr>
        <w:t>was determine</w:t>
      </w:r>
      <w:r w:rsidR="00282657">
        <w:rPr>
          <w:bCs/>
        </w:rPr>
        <w:t xml:space="preserve">d by </w:t>
      </w:r>
      <w:proofErr w:type="spellStart"/>
      <w:r w:rsidR="00282657">
        <w:rPr>
          <w:bCs/>
        </w:rPr>
        <w:t>Mitotracker</w:t>
      </w:r>
      <w:proofErr w:type="spellEnd"/>
      <w:r w:rsidR="00D36D57" w:rsidRPr="00BE2CBC">
        <w:rPr>
          <w:bCs/>
        </w:rPr>
        <w:t xml:space="preserve">. </w:t>
      </w:r>
      <w:r w:rsidR="006C3EFC" w:rsidRPr="00BE2CBC">
        <w:rPr>
          <w:bCs/>
        </w:rPr>
        <w:t xml:space="preserve">ROS levels were measured by </w:t>
      </w:r>
      <w:proofErr w:type="spellStart"/>
      <w:r w:rsidR="006C3EFC" w:rsidRPr="00BE2CBC">
        <w:rPr>
          <w:bCs/>
        </w:rPr>
        <w:t>CellRoxGreen</w:t>
      </w:r>
      <w:proofErr w:type="spellEnd"/>
      <w:r w:rsidR="006C3EFC" w:rsidRPr="00BE2CBC">
        <w:rPr>
          <w:bCs/>
        </w:rPr>
        <w:t>, expression of HIF-1 target</w:t>
      </w:r>
      <w:r w:rsidR="00810C45">
        <w:rPr>
          <w:bCs/>
        </w:rPr>
        <w:t xml:space="preserve">s </w:t>
      </w:r>
      <w:r w:rsidR="006C3EFC" w:rsidRPr="00BE2CBC">
        <w:rPr>
          <w:bCs/>
        </w:rPr>
        <w:t>was determined by semi-quantitative RT-PCR.</w:t>
      </w:r>
      <w:r w:rsidR="003E43D8">
        <w:rPr>
          <w:bCs/>
        </w:rPr>
        <w:t xml:space="preserve"> </w:t>
      </w:r>
    </w:p>
    <w:p w14:paraId="749F90C3" w14:textId="7520EE64" w:rsidR="0074157D" w:rsidRPr="00BE2CBC" w:rsidRDefault="008F17BC" w:rsidP="00DD3143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hu-HU"/>
        </w:rPr>
      </w:pPr>
      <w:r w:rsidRPr="00BE2CBC">
        <w:rPr>
          <w:b/>
        </w:rPr>
        <w:t>Results</w:t>
      </w:r>
      <w:r w:rsidRPr="00BE2CBC">
        <w:rPr>
          <w:bCs/>
        </w:rPr>
        <w:t>: Arg244His mutant</w:t>
      </w:r>
      <w:r w:rsidR="005F51B2">
        <w:rPr>
          <w:bCs/>
        </w:rPr>
        <w:t>s</w:t>
      </w:r>
      <w:r w:rsidRPr="00BE2CBC">
        <w:rPr>
          <w:bCs/>
        </w:rPr>
        <w:t xml:space="preserve"> manifest delayed development, attenuated ATP production and reduced mitochondrial number. </w:t>
      </w:r>
      <w:r w:rsidR="0074157D" w:rsidRPr="00BE2CBC">
        <w:rPr>
          <w:bCs/>
        </w:rPr>
        <w:t xml:space="preserve">Although succinate is elevated in both missense and null </w:t>
      </w:r>
      <w:r w:rsidR="0074157D" w:rsidRPr="00BE2CBC">
        <w:rPr>
          <w:bCs/>
          <w:i/>
        </w:rPr>
        <w:t>sdhb-1</w:t>
      </w:r>
      <w:r w:rsidRPr="00BE2CBC">
        <w:rPr>
          <w:bCs/>
          <w:i/>
        </w:rPr>
        <w:t xml:space="preserve"> </w:t>
      </w:r>
      <w:r w:rsidR="0074157D" w:rsidRPr="00BE2CBC">
        <w:rPr>
          <w:bCs/>
        </w:rPr>
        <w:t xml:space="preserve">mutants, transcriptomic comparison suggests </w:t>
      </w:r>
      <w:r w:rsidR="00CC3E25">
        <w:rPr>
          <w:bCs/>
        </w:rPr>
        <w:t>that only</w:t>
      </w:r>
      <w:r w:rsidR="0074157D" w:rsidRPr="00BE2CBC">
        <w:rPr>
          <w:bCs/>
        </w:rPr>
        <w:t xml:space="preserve"> Arg244His worms elevate lactate/pyruvate levels, pointing to ‘Warburg’-like aberrant glycolysis. </w:t>
      </w:r>
      <w:r w:rsidR="003E43D8">
        <w:rPr>
          <w:bCs/>
        </w:rPr>
        <w:t xml:space="preserve">Accordingly, in Arg244His mutants increased expression of lactate dehydrogenase </w:t>
      </w:r>
      <w:r w:rsidR="003E43D8" w:rsidRPr="003E43D8">
        <w:rPr>
          <w:bCs/>
          <w:i/>
          <w:iCs/>
        </w:rPr>
        <w:t>(ldh-1)</w:t>
      </w:r>
      <w:r w:rsidR="003E43D8">
        <w:rPr>
          <w:bCs/>
        </w:rPr>
        <w:t xml:space="preserve"> was observed, wh</w:t>
      </w:r>
      <w:r w:rsidR="00C659C2">
        <w:rPr>
          <w:bCs/>
        </w:rPr>
        <w:t>ich could be inhibited by</w:t>
      </w:r>
      <w:r w:rsidR="003E43D8">
        <w:rPr>
          <w:bCs/>
        </w:rPr>
        <w:t xml:space="preserve"> LDHA</w:t>
      </w:r>
      <w:r w:rsidR="00C659C2">
        <w:rPr>
          <w:bCs/>
        </w:rPr>
        <w:t xml:space="preserve"> inhibitors </w:t>
      </w:r>
      <w:r w:rsidR="007C13DE">
        <w:rPr>
          <w:bCs/>
        </w:rPr>
        <w:t xml:space="preserve">and caused arrested development. Besides </w:t>
      </w:r>
      <w:r w:rsidR="007C13DE" w:rsidRPr="004139E2">
        <w:rPr>
          <w:bCs/>
          <w:i/>
          <w:iCs/>
        </w:rPr>
        <w:t>ldh-1/LDHA</w:t>
      </w:r>
      <w:r w:rsidR="007C13DE">
        <w:rPr>
          <w:bCs/>
        </w:rPr>
        <w:t xml:space="preserve">, elevated expression of other </w:t>
      </w:r>
      <w:r w:rsidR="007C13DE" w:rsidRPr="00BE2CBC">
        <w:rPr>
          <w:bCs/>
        </w:rPr>
        <w:t>hypoxia target genes</w:t>
      </w:r>
      <w:r w:rsidR="007C13DE">
        <w:rPr>
          <w:bCs/>
          <w:i/>
          <w:iCs/>
        </w:rPr>
        <w:t xml:space="preserve"> </w:t>
      </w:r>
      <w:r w:rsidR="007C13DE" w:rsidRPr="007C13DE">
        <w:rPr>
          <w:bCs/>
        </w:rPr>
        <w:t>such as</w:t>
      </w:r>
      <w:r w:rsidR="007C13DE" w:rsidRPr="004139E2">
        <w:rPr>
          <w:bCs/>
          <w:i/>
          <w:iCs/>
        </w:rPr>
        <w:t xml:space="preserve"> pvf-1/VEGFA</w:t>
      </w:r>
      <w:r w:rsidR="007C13DE">
        <w:rPr>
          <w:bCs/>
        </w:rPr>
        <w:t xml:space="preserve"> </w:t>
      </w:r>
      <w:r w:rsidR="007C13DE" w:rsidRPr="004139E2">
        <w:rPr>
          <w:bCs/>
        </w:rPr>
        <w:t xml:space="preserve">and </w:t>
      </w:r>
      <w:r w:rsidR="007C13DE" w:rsidRPr="004139E2">
        <w:rPr>
          <w:i/>
          <w:iCs/>
        </w:rPr>
        <w:t>Y48G10A.3/NDGR1</w:t>
      </w:r>
      <w:r w:rsidR="007C13DE">
        <w:rPr>
          <w:i/>
          <w:iCs/>
        </w:rPr>
        <w:t xml:space="preserve"> </w:t>
      </w:r>
      <w:r w:rsidR="007C13DE">
        <w:t>were detected in point mutant</w:t>
      </w:r>
      <w:r w:rsidR="00282657">
        <w:t>s</w:t>
      </w:r>
      <w:r w:rsidR="007C13DE">
        <w:t>.</w:t>
      </w:r>
      <w:r w:rsidR="007C13DE" w:rsidRPr="007C13DE">
        <w:t xml:space="preserve"> In addition</w:t>
      </w:r>
      <w:r w:rsidR="007C13DE">
        <w:rPr>
          <w:i/>
          <w:iCs/>
        </w:rPr>
        <w:t xml:space="preserve">, </w:t>
      </w:r>
      <w:r w:rsidR="00211B82" w:rsidRPr="00BE2CBC">
        <w:rPr>
          <w:bCs/>
        </w:rPr>
        <w:t>Arg244His mutants</w:t>
      </w:r>
      <w:r w:rsidR="0050439C" w:rsidRPr="00BE2CBC">
        <w:rPr>
          <w:bCs/>
        </w:rPr>
        <w:t xml:space="preserve"> </w:t>
      </w:r>
      <w:r w:rsidR="00F8281C" w:rsidRPr="00BE2CBC">
        <w:rPr>
          <w:bCs/>
        </w:rPr>
        <w:t>display</w:t>
      </w:r>
      <w:r w:rsidR="00F124A0">
        <w:rPr>
          <w:bCs/>
        </w:rPr>
        <w:t>ed</w:t>
      </w:r>
      <w:r w:rsidR="00F8281C" w:rsidRPr="00BE2CBC">
        <w:rPr>
          <w:bCs/>
        </w:rPr>
        <w:t xml:space="preserve"> elevated ROS levels</w:t>
      </w:r>
      <w:r w:rsidR="00D94FC0">
        <w:rPr>
          <w:bCs/>
        </w:rPr>
        <w:t>.</w:t>
      </w:r>
      <w:r w:rsidR="00F124A0">
        <w:rPr>
          <w:bCs/>
        </w:rPr>
        <w:t xml:space="preserve"> </w:t>
      </w:r>
    </w:p>
    <w:p w14:paraId="32FA1BF1" w14:textId="4AD6F335" w:rsidR="00DD3143" w:rsidRDefault="00050E71" w:rsidP="00DD3143">
      <w:pPr>
        <w:pStyle w:val="Listaszerbekezds"/>
        <w:numPr>
          <w:ilvl w:val="0"/>
          <w:numId w:val="2"/>
        </w:numPr>
        <w:jc w:val="both"/>
      </w:pPr>
      <w:r w:rsidRPr="00DD3143">
        <w:rPr>
          <w:b/>
        </w:rPr>
        <w:t>Conclusion</w:t>
      </w:r>
      <w:r w:rsidRPr="00DD3143">
        <w:rPr>
          <w:lang w:val="hu-HU"/>
        </w:rPr>
        <w:t xml:space="preserve">: </w:t>
      </w:r>
      <w:proofErr w:type="spellStart"/>
      <w:r w:rsidR="007805AB" w:rsidRPr="00DD3143">
        <w:rPr>
          <w:lang w:val="hu-HU"/>
        </w:rPr>
        <w:t>Characterization</w:t>
      </w:r>
      <w:proofErr w:type="spellEnd"/>
      <w:r w:rsidR="007805AB" w:rsidRPr="00DD3143">
        <w:rPr>
          <w:lang w:val="hu-HU"/>
        </w:rPr>
        <w:t xml:space="preserve"> of </w:t>
      </w:r>
      <w:proofErr w:type="spellStart"/>
      <w:r w:rsidR="007805AB" w:rsidRPr="00DD3143">
        <w:rPr>
          <w:lang w:val="hu-HU"/>
        </w:rPr>
        <w:t>our</w:t>
      </w:r>
      <w:proofErr w:type="spellEnd"/>
      <w:r w:rsidR="007805AB" w:rsidRPr="00DD3143">
        <w:rPr>
          <w:lang w:val="hu-HU"/>
        </w:rPr>
        <w:t xml:space="preserve"> </w:t>
      </w:r>
      <w:proofErr w:type="spellStart"/>
      <w:r w:rsidR="007805AB" w:rsidRPr="00DD3143">
        <w:rPr>
          <w:lang w:val="hu-HU"/>
        </w:rPr>
        <w:t>novel</w:t>
      </w:r>
      <w:proofErr w:type="spellEnd"/>
      <w:r w:rsidR="007805AB" w:rsidRPr="00DD3143">
        <w:rPr>
          <w:lang w:val="hu-HU"/>
        </w:rPr>
        <w:t xml:space="preserve"> </w:t>
      </w:r>
      <w:proofErr w:type="spellStart"/>
      <w:r w:rsidR="007805AB" w:rsidRPr="00DD3143">
        <w:rPr>
          <w:lang w:val="hu-HU"/>
        </w:rPr>
        <w:t>nematode</w:t>
      </w:r>
      <w:proofErr w:type="spellEnd"/>
      <w:r w:rsidR="007805AB" w:rsidRPr="00DD3143">
        <w:rPr>
          <w:lang w:val="hu-HU"/>
        </w:rPr>
        <w:t xml:space="preserve"> PPGL </w:t>
      </w:r>
      <w:proofErr w:type="spellStart"/>
      <w:r w:rsidR="007805AB" w:rsidRPr="00DD3143">
        <w:rPr>
          <w:lang w:val="hu-HU"/>
        </w:rPr>
        <w:t>model</w:t>
      </w:r>
      <w:proofErr w:type="spellEnd"/>
      <w:r w:rsidR="007805AB" w:rsidRPr="00DD3143">
        <w:rPr>
          <w:lang w:val="hu-HU"/>
        </w:rPr>
        <w:t xml:space="preserve"> </w:t>
      </w:r>
      <w:r w:rsidR="00AB063A">
        <w:t>revealed rewired metabolism, hypoxia activation and increased ROS levels, characteristics of PPGL tumors, which can be observed in patients</w:t>
      </w:r>
      <w:r w:rsidR="007805AB" w:rsidRPr="00DD3143">
        <w:rPr>
          <w:lang w:val="hu-HU"/>
        </w:rPr>
        <w:t>.</w:t>
      </w:r>
      <w:r w:rsidR="00C81E5F" w:rsidRPr="00DD3143">
        <w:rPr>
          <w:lang w:val="hu-HU"/>
        </w:rPr>
        <w:t xml:space="preserve"> </w:t>
      </w:r>
      <w:r w:rsidR="006D7F6E">
        <w:t>We showed that our model is druggable</w:t>
      </w:r>
      <w:r w:rsidR="00DD3143">
        <w:t xml:space="preserve"> and </w:t>
      </w:r>
      <w:r w:rsidR="00DD3143" w:rsidRPr="00412A8D">
        <w:t>can be used after optimalization for high-throughput screening of drug candidates.</w:t>
      </w:r>
    </w:p>
    <w:p w14:paraId="51CF2E25" w14:textId="6CF94FF8" w:rsidR="004F4505" w:rsidRDefault="004F4505" w:rsidP="004F4505">
      <w:pPr>
        <w:pStyle w:val="Listaszerbekezds"/>
        <w:jc w:val="both"/>
      </w:pPr>
      <w:r>
        <w:rPr>
          <w:b/>
        </w:rPr>
        <w:t>We thank</w:t>
      </w:r>
      <w:r w:rsidR="00810C45">
        <w:rPr>
          <w:b/>
        </w:rPr>
        <w:t xml:space="preserve"> Dr. Anil Mehta</w:t>
      </w:r>
      <w:r w:rsidR="00282657">
        <w:rPr>
          <w:b/>
        </w:rPr>
        <w:t>, Dr. Gordon Stewart,</w:t>
      </w:r>
      <w:r w:rsidR="00810C45">
        <w:rPr>
          <w:b/>
        </w:rPr>
        <w:t xml:space="preserve"> and </w:t>
      </w:r>
      <w:r w:rsidR="002014BF">
        <w:rPr>
          <w:b/>
        </w:rPr>
        <w:t>the</w:t>
      </w:r>
      <w:r>
        <w:rPr>
          <w:b/>
        </w:rPr>
        <w:t xml:space="preserve"> Phaeo Para Cancer Charity for their support</w:t>
      </w:r>
      <w:r w:rsidRPr="004F4505">
        <w:t>.</w:t>
      </w:r>
    </w:p>
    <w:sectPr w:rsidR="004F4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601E"/>
    <w:multiLevelType w:val="hybridMultilevel"/>
    <w:tmpl w:val="3774A8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9559E"/>
    <w:multiLevelType w:val="multilevel"/>
    <w:tmpl w:val="BE62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4914206">
    <w:abstractNumId w:val="1"/>
  </w:num>
  <w:num w:numId="2" w16cid:durableId="781265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3C"/>
    <w:rsid w:val="00044040"/>
    <w:rsid w:val="00050E71"/>
    <w:rsid w:val="000E18AA"/>
    <w:rsid w:val="0010747F"/>
    <w:rsid w:val="001522B4"/>
    <w:rsid w:val="001833EB"/>
    <w:rsid w:val="001A048F"/>
    <w:rsid w:val="001E744D"/>
    <w:rsid w:val="002014BF"/>
    <w:rsid w:val="00211B82"/>
    <w:rsid w:val="00282657"/>
    <w:rsid w:val="002D31FB"/>
    <w:rsid w:val="00333B3E"/>
    <w:rsid w:val="003530F9"/>
    <w:rsid w:val="003C415F"/>
    <w:rsid w:val="003D2D02"/>
    <w:rsid w:val="003E43D8"/>
    <w:rsid w:val="004139E2"/>
    <w:rsid w:val="004515F3"/>
    <w:rsid w:val="004F4505"/>
    <w:rsid w:val="0050439C"/>
    <w:rsid w:val="005C2260"/>
    <w:rsid w:val="005F51B2"/>
    <w:rsid w:val="00642282"/>
    <w:rsid w:val="00683666"/>
    <w:rsid w:val="006C3EFC"/>
    <w:rsid w:val="006D7F6E"/>
    <w:rsid w:val="006F26F8"/>
    <w:rsid w:val="00714753"/>
    <w:rsid w:val="0074157D"/>
    <w:rsid w:val="007805AB"/>
    <w:rsid w:val="007A5FA0"/>
    <w:rsid w:val="007B25E5"/>
    <w:rsid w:val="007C13DE"/>
    <w:rsid w:val="00810C45"/>
    <w:rsid w:val="008244E4"/>
    <w:rsid w:val="008538E4"/>
    <w:rsid w:val="008561D7"/>
    <w:rsid w:val="008B614B"/>
    <w:rsid w:val="008F17BC"/>
    <w:rsid w:val="009178E2"/>
    <w:rsid w:val="009203F1"/>
    <w:rsid w:val="009769FC"/>
    <w:rsid w:val="00A82A55"/>
    <w:rsid w:val="00AA734C"/>
    <w:rsid w:val="00AB063A"/>
    <w:rsid w:val="00AF240B"/>
    <w:rsid w:val="00B96941"/>
    <w:rsid w:val="00BA725A"/>
    <w:rsid w:val="00BE2CBC"/>
    <w:rsid w:val="00C64EA4"/>
    <w:rsid w:val="00C659C2"/>
    <w:rsid w:val="00C81E5F"/>
    <w:rsid w:val="00C8223C"/>
    <w:rsid w:val="00CC3E25"/>
    <w:rsid w:val="00D36D57"/>
    <w:rsid w:val="00D5524A"/>
    <w:rsid w:val="00D94FC0"/>
    <w:rsid w:val="00DA1AE7"/>
    <w:rsid w:val="00DB363C"/>
    <w:rsid w:val="00DD3143"/>
    <w:rsid w:val="00DD75F2"/>
    <w:rsid w:val="00E12D2C"/>
    <w:rsid w:val="00E26050"/>
    <w:rsid w:val="00F124A0"/>
    <w:rsid w:val="00F25304"/>
    <w:rsid w:val="00F2625F"/>
    <w:rsid w:val="00F8281C"/>
    <w:rsid w:val="00FD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F676"/>
  <w15:chartTrackingRefBased/>
  <w15:docId w15:val="{4C3ECAFC-FB31-4E15-A0AA-DE8C0DCB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B2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C415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1E5F"/>
    <w:pPr>
      <w:spacing w:before="100" w:beforeAutospacing="1" w:after="100" w:afterAutospacing="1"/>
    </w:pPr>
    <w:rPr>
      <w:lang w:val="hu-HU"/>
    </w:rPr>
  </w:style>
  <w:style w:type="character" w:styleId="Kiemels">
    <w:name w:val="Emphasis"/>
    <w:basedOn w:val="Bekezdsalapbettpusa"/>
    <w:uiPriority w:val="20"/>
    <w:qFormat/>
    <w:rsid w:val="00DD3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3475</TotalTime>
  <Pages>1</Pages>
  <Words>267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Vellainé Takács Krisztina</dc:creator>
  <cp:keywords/>
  <dc:description/>
  <cp:lastModifiedBy>Dr. Vellainé Takács Krisztina</cp:lastModifiedBy>
  <cp:revision>42</cp:revision>
  <dcterms:created xsi:type="dcterms:W3CDTF">2023-10-04T18:52:00Z</dcterms:created>
  <dcterms:modified xsi:type="dcterms:W3CDTF">2023-11-06T06:41:00Z</dcterms:modified>
</cp:coreProperties>
</file>