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1F" w:rsidRDefault="00F115EF" w:rsidP="00AC62A1">
      <w:pPr>
        <w:jc w:val="both"/>
        <w:rPr>
          <w:rFonts w:asciiTheme="majorBidi" w:hAnsiTheme="majorBidi" w:cstheme="majorBidi"/>
          <w:sz w:val="24"/>
          <w:szCs w:val="24"/>
        </w:rPr>
      </w:pPr>
      <w:r w:rsidRPr="006C5294">
        <w:rPr>
          <w:rFonts w:asciiTheme="majorBidi" w:hAnsiTheme="majorBidi" w:cstheme="majorBidi"/>
          <w:sz w:val="24"/>
          <w:szCs w:val="24"/>
        </w:rPr>
        <w:t xml:space="preserve">Several long non-coding RNAs are significantly </w:t>
      </w:r>
      <w:proofErr w:type="spellStart"/>
      <w:r w:rsidRPr="006C5294">
        <w:rPr>
          <w:rFonts w:asciiTheme="majorBidi" w:hAnsiTheme="majorBidi" w:cstheme="majorBidi"/>
          <w:sz w:val="24"/>
          <w:szCs w:val="24"/>
        </w:rPr>
        <w:t>underexpressed</w:t>
      </w:r>
      <w:proofErr w:type="spellEnd"/>
      <w:r w:rsidRPr="006C5294">
        <w:rPr>
          <w:rFonts w:asciiTheme="majorBidi" w:hAnsiTheme="majorBidi" w:cstheme="majorBidi"/>
          <w:sz w:val="24"/>
          <w:szCs w:val="24"/>
        </w:rPr>
        <w:t xml:space="preserve"> in patients with pancreatic cancer</w:t>
      </w:r>
    </w:p>
    <w:p w:rsidR="00AC62A1" w:rsidRPr="006C5294" w:rsidRDefault="00AC62A1" w:rsidP="00AC62A1">
      <w:pPr>
        <w:jc w:val="both"/>
        <w:rPr>
          <w:rFonts w:asciiTheme="majorBidi" w:hAnsiTheme="majorBidi" w:cstheme="majorBidi"/>
          <w:sz w:val="24"/>
          <w:szCs w:val="24"/>
        </w:rPr>
      </w:pPr>
      <w:bookmarkStart w:id="0" w:name="_GoBack"/>
      <w:bookmarkEnd w:id="0"/>
    </w:p>
    <w:p w:rsidR="00907D14" w:rsidRPr="006C5294" w:rsidRDefault="00907D14" w:rsidP="006C5294">
      <w:pPr>
        <w:tabs>
          <w:tab w:val="left" w:pos="7258"/>
        </w:tabs>
        <w:spacing w:after="0"/>
        <w:ind w:left="284"/>
        <w:jc w:val="both"/>
        <w:rPr>
          <w:rFonts w:asciiTheme="majorBidi" w:eastAsia="Calibri" w:hAnsiTheme="majorBidi" w:cstheme="majorBidi"/>
        </w:rPr>
      </w:pPr>
      <w:proofErr w:type="spellStart"/>
      <w:r w:rsidRPr="006C5294">
        <w:rPr>
          <w:rFonts w:asciiTheme="majorBidi" w:eastAsia="Calibri" w:hAnsiTheme="majorBidi" w:cstheme="majorBidi"/>
        </w:rPr>
        <w:t>Setayesh</w:t>
      </w:r>
      <w:proofErr w:type="spellEnd"/>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Baradaran</w:t>
      </w:r>
      <w:proofErr w:type="spellEnd"/>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Bagherian</w:t>
      </w:r>
      <w:proofErr w:type="spellEnd"/>
      <w:r w:rsidRPr="006C5294">
        <w:rPr>
          <w:rFonts w:asciiTheme="majorBidi" w:eastAsia="Calibri" w:hAnsiTheme="majorBidi" w:cstheme="majorBidi"/>
        </w:rPr>
        <w:t xml:space="preserve"> </w:t>
      </w:r>
      <w:r w:rsidRPr="006C5294">
        <w:rPr>
          <w:rFonts w:asciiTheme="majorBidi" w:eastAsia="Calibri" w:hAnsiTheme="majorBidi" w:cstheme="majorBidi"/>
          <w:vertAlign w:val="superscript"/>
        </w:rPr>
        <w:t>1</w:t>
      </w:r>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Mahdieh</w:t>
      </w:r>
      <w:proofErr w:type="spellEnd"/>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Mehrab</w:t>
      </w:r>
      <w:proofErr w:type="spellEnd"/>
      <w:r w:rsidRPr="006C5294">
        <w:rPr>
          <w:rFonts w:asciiTheme="majorBidi" w:eastAsia="Calibri" w:hAnsiTheme="majorBidi" w:cstheme="majorBidi"/>
        </w:rPr>
        <w:t xml:space="preserve"> Mohseni</w:t>
      </w:r>
      <w:r w:rsidRPr="006C5294">
        <w:rPr>
          <w:rFonts w:asciiTheme="majorBidi" w:eastAsia="Calibri" w:hAnsiTheme="majorBidi" w:cstheme="majorBidi"/>
          <w:vertAlign w:val="superscript"/>
        </w:rPr>
        <w:t>1</w:t>
      </w:r>
      <w:r w:rsidR="006C5294">
        <w:rPr>
          <w:rFonts w:asciiTheme="majorBidi" w:eastAsia="Calibri" w:hAnsiTheme="majorBidi" w:cstheme="majorBidi"/>
        </w:rPr>
        <w:t xml:space="preserve">, </w:t>
      </w:r>
      <w:proofErr w:type="spellStart"/>
      <w:r w:rsidRPr="006C5294">
        <w:rPr>
          <w:rFonts w:asciiTheme="majorBidi" w:eastAsia="Calibri" w:hAnsiTheme="majorBidi" w:cstheme="majorBidi"/>
        </w:rPr>
        <w:t>Shirin</w:t>
      </w:r>
      <w:proofErr w:type="spellEnd"/>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Farivar</w:t>
      </w:r>
      <w:proofErr w:type="spellEnd"/>
      <w:r w:rsidRPr="006C5294">
        <w:rPr>
          <w:rFonts w:asciiTheme="majorBidi" w:eastAsia="Calibri" w:hAnsiTheme="majorBidi" w:cstheme="majorBidi"/>
        </w:rPr>
        <w:t xml:space="preserve"> </w:t>
      </w:r>
      <w:r w:rsidRPr="006C5294">
        <w:rPr>
          <w:rFonts w:asciiTheme="majorBidi" w:eastAsia="Calibri" w:hAnsiTheme="majorBidi" w:cstheme="majorBidi"/>
          <w:vertAlign w:val="superscript"/>
        </w:rPr>
        <w:t>1</w:t>
      </w:r>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Roya</w:t>
      </w:r>
      <w:proofErr w:type="spellEnd"/>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Sharifi</w:t>
      </w:r>
      <w:proofErr w:type="spellEnd"/>
      <w:r w:rsidRPr="006C5294">
        <w:rPr>
          <w:rFonts w:asciiTheme="majorBidi" w:eastAsia="Calibri" w:hAnsiTheme="majorBidi" w:cstheme="majorBidi"/>
        </w:rPr>
        <w:t xml:space="preserve"> </w:t>
      </w:r>
      <w:r w:rsidRPr="006C5294">
        <w:rPr>
          <w:rFonts w:asciiTheme="majorBidi" w:eastAsia="Calibri" w:hAnsiTheme="majorBidi" w:cstheme="majorBidi"/>
          <w:vertAlign w:val="superscript"/>
        </w:rPr>
        <w:t>2</w:t>
      </w:r>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Roya</w:t>
      </w:r>
      <w:proofErr w:type="spellEnd"/>
      <w:r w:rsidRPr="006C5294">
        <w:rPr>
          <w:rFonts w:asciiTheme="majorBidi" w:eastAsia="Calibri" w:hAnsiTheme="majorBidi" w:cstheme="majorBidi"/>
        </w:rPr>
        <w:t xml:space="preserve"> </w:t>
      </w:r>
      <w:proofErr w:type="spellStart"/>
      <w:r w:rsidRPr="006C5294">
        <w:rPr>
          <w:rFonts w:asciiTheme="majorBidi" w:eastAsia="Calibri" w:hAnsiTheme="majorBidi" w:cstheme="majorBidi"/>
        </w:rPr>
        <w:t>Amirinejad</w:t>
      </w:r>
      <w:proofErr w:type="spellEnd"/>
      <w:r w:rsidRPr="006C5294">
        <w:rPr>
          <w:rFonts w:asciiTheme="majorBidi" w:eastAsia="Calibri" w:hAnsiTheme="majorBidi" w:cstheme="majorBidi"/>
        </w:rPr>
        <w:t xml:space="preserve"> </w:t>
      </w:r>
      <w:r w:rsidRPr="006C5294">
        <w:rPr>
          <w:rFonts w:asciiTheme="majorBidi" w:eastAsia="Calibri" w:hAnsiTheme="majorBidi" w:cstheme="majorBidi"/>
          <w:vertAlign w:val="superscript"/>
        </w:rPr>
        <w:t>3</w:t>
      </w:r>
      <w:r w:rsidRPr="006C5294">
        <w:rPr>
          <w:rFonts w:asciiTheme="majorBidi" w:eastAsia="Calibri" w:hAnsiTheme="majorBidi" w:cstheme="majorBidi"/>
        </w:rPr>
        <w:t xml:space="preserve">, </w:t>
      </w:r>
      <w:r w:rsidRPr="006C5294">
        <w:rPr>
          <w:rFonts w:asciiTheme="majorBidi" w:eastAsia="Calibri" w:hAnsiTheme="majorBidi" w:cstheme="majorBidi"/>
        </w:rPr>
        <w:fldChar w:fldCharType="begin"/>
      </w:r>
      <w:r w:rsidRPr="006C5294">
        <w:rPr>
          <w:rFonts w:asciiTheme="majorBidi" w:eastAsia="Calibri" w:hAnsiTheme="majorBidi" w:cstheme="majorBidi"/>
        </w:rPr>
        <w:instrText xml:space="preserve"> HYPERLINK "http://facultymembers.sbu.ac.ir/sheidai/" \t "_blank" </w:instrText>
      </w:r>
      <w:r w:rsidRPr="006C5294">
        <w:rPr>
          <w:rFonts w:asciiTheme="majorBidi" w:eastAsia="Calibri" w:hAnsiTheme="majorBidi" w:cstheme="majorBidi"/>
        </w:rPr>
        <w:fldChar w:fldCharType="separate"/>
      </w:r>
      <w:proofErr w:type="spellStart"/>
      <w:r w:rsidRPr="006C5294">
        <w:rPr>
          <w:rFonts w:asciiTheme="majorBidi" w:eastAsia="Calibri" w:hAnsiTheme="majorBidi" w:cstheme="majorBidi"/>
        </w:rPr>
        <w:t>Zeinab</w:t>
      </w:r>
      <w:proofErr w:type="spellEnd"/>
      <w:r w:rsidRPr="006C5294">
        <w:rPr>
          <w:rFonts w:asciiTheme="majorBidi" w:eastAsia="Calibri" w:hAnsiTheme="majorBidi" w:cstheme="majorBidi"/>
        </w:rPr>
        <w:t xml:space="preserve"> Shirvani-Farsani</w:t>
      </w:r>
      <w:r w:rsidRPr="006C5294">
        <w:rPr>
          <w:rFonts w:asciiTheme="majorBidi" w:eastAsia="Calibri" w:hAnsiTheme="majorBidi" w:cstheme="majorBidi"/>
          <w:vertAlign w:val="superscript"/>
        </w:rPr>
        <w:t>1*</w:t>
      </w:r>
    </w:p>
    <w:p w:rsidR="00907D14" w:rsidRPr="006C5294" w:rsidRDefault="00907D14" w:rsidP="006C5294">
      <w:pPr>
        <w:pStyle w:val="NormalWeb"/>
        <w:spacing w:before="0" w:beforeAutospacing="0" w:after="0" w:afterAutospacing="0" w:line="360" w:lineRule="auto"/>
        <w:jc w:val="both"/>
        <w:rPr>
          <w:rFonts w:asciiTheme="majorBidi" w:eastAsia="Calibri" w:hAnsiTheme="majorBidi" w:cstheme="majorBidi"/>
          <w:sz w:val="22"/>
          <w:szCs w:val="22"/>
        </w:rPr>
      </w:pPr>
      <w:r w:rsidRPr="006C5294">
        <w:rPr>
          <w:rFonts w:asciiTheme="majorBidi" w:eastAsia="Calibri" w:hAnsiTheme="majorBidi" w:cstheme="majorBidi"/>
          <w:sz w:val="22"/>
          <w:szCs w:val="22"/>
        </w:rPr>
        <w:fldChar w:fldCharType="end"/>
      </w:r>
    </w:p>
    <w:p w:rsidR="00907D14" w:rsidRPr="006C5294" w:rsidRDefault="00907D14" w:rsidP="006C5294">
      <w:pPr>
        <w:spacing w:after="0" w:line="360" w:lineRule="auto"/>
        <w:jc w:val="both"/>
        <w:rPr>
          <w:rFonts w:asciiTheme="majorBidi" w:eastAsia="Calibri" w:hAnsiTheme="majorBidi" w:cstheme="majorBidi"/>
        </w:rPr>
      </w:pPr>
      <w:r w:rsidRPr="006C5294">
        <w:rPr>
          <w:rFonts w:asciiTheme="majorBidi" w:eastAsia="Calibri" w:hAnsiTheme="majorBidi" w:cstheme="majorBidi"/>
          <w:vertAlign w:val="superscript"/>
        </w:rPr>
        <w:t>1</w:t>
      </w:r>
      <w:r w:rsidRPr="006C5294">
        <w:rPr>
          <w:rFonts w:asciiTheme="majorBidi" w:eastAsia="Calibri" w:hAnsiTheme="majorBidi" w:cstheme="majorBidi"/>
        </w:rPr>
        <w:t xml:space="preserve"> </w:t>
      </w:r>
      <w:r w:rsidRPr="006C5294">
        <w:rPr>
          <w:rFonts w:asciiTheme="majorBidi" w:hAnsiTheme="majorBidi" w:cstheme="majorBidi"/>
        </w:rPr>
        <w:t xml:space="preserve">Department of Cell and Molecular Biology, Faculty of Life Sciences and Technology, </w:t>
      </w:r>
      <w:proofErr w:type="spellStart"/>
      <w:r w:rsidRPr="006C5294">
        <w:rPr>
          <w:rFonts w:asciiTheme="majorBidi" w:hAnsiTheme="majorBidi" w:cstheme="majorBidi"/>
        </w:rPr>
        <w:t>Shahid</w:t>
      </w:r>
      <w:proofErr w:type="spellEnd"/>
      <w:r w:rsidRPr="006C5294">
        <w:rPr>
          <w:rFonts w:asciiTheme="majorBidi" w:hAnsiTheme="majorBidi" w:cstheme="majorBidi"/>
        </w:rPr>
        <w:t xml:space="preserve"> </w:t>
      </w:r>
      <w:proofErr w:type="spellStart"/>
      <w:r w:rsidRPr="006C5294">
        <w:rPr>
          <w:rFonts w:asciiTheme="majorBidi" w:hAnsiTheme="majorBidi" w:cstheme="majorBidi"/>
        </w:rPr>
        <w:t>Beheshti</w:t>
      </w:r>
      <w:proofErr w:type="spellEnd"/>
      <w:r w:rsidRPr="006C5294">
        <w:rPr>
          <w:rFonts w:asciiTheme="majorBidi" w:hAnsiTheme="majorBidi" w:cstheme="majorBidi"/>
        </w:rPr>
        <w:t xml:space="preserve"> University, Tehran, Iran</w:t>
      </w:r>
    </w:p>
    <w:p w:rsidR="00907D14" w:rsidRPr="006C5294" w:rsidRDefault="00907D14" w:rsidP="006C5294">
      <w:pPr>
        <w:spacing w:after="0" w:line="360" w:lineRule="auto"/>
        <w:jc w:val="both"/>
        <w:rPr>
          <w:rFonts w:asciiTheme="majorBidi" w:eastAsia="Calibri" w:hAnsiTheme="majorBidi" w:cstheme="majorBidi"/>
        </w:rPr>
      </w:pPr>
      <w:r w:rsidRPr="006C5294">
        <w:rPr>
          <w:rFonts w:asciiTheme="majorBidi" w:eastAsia="Calibri" w:hAnsiTheme="majorBidi" w:cstheme="majorBidi"/>
          <w:vertAlign w:val="superscript"/>
        </w:rPr>
        <w:t>2</w:t>
      </w:r>
      <w:r w:rsidRPr="006C5294">
        <w:rPr>
          <w:rFonts w:asciiTheme="majorBidi" w:eastAsia="Calibri" w:hAnsiTheme="majorBidi" w:cstheme="majorBidi"/>
        </w:rPr>
        <w:t xml:space="preserve"> </w:t>
      </w:r>
      <w:r w:rsidRPr="006C5294">
        <w:rPr>
          <w:rFonts w:asciiTheme="majorBidi" w:hAnsiTheme="majorBidi" w:cstheme="majorBidi"/>
        </w:rPr>
        <w:t>Department of Medical Laboratory Sciences, School of Allied Medical Sciences, Iran University of Medical Sciences, Tehran, Iran</w:t>
      </w:r>
    </w:p>
    <w:p w:rsidR="00907D14" w:rsidRPr="006C5294" w:rsidRDefault="00907D14" w:rsidP="006C5294">
      <w:pPr>
        <w:spacing w:after="0" w:line="360" w:lineRule="auto"/>
        <w:jc w:val="both"/>
        <w:rPr>
          <w:rFonts w:asciiTheme="majorBidi" w:eastAsia="Calibri" w:hAnsiTheme="majorBidi" w:cstheme="majorBidi"/>
        </w:rPr>
      </w:pPr>
      <w:r w:rsidRPr="006C5294">
        <w:rPr>
          <w:rFonts w:asciiTheme="majorBidi" w:eastAsia="Calibri" w:hAnsiTheme="majorBidi" w:cstheme="majorBidi"/>
          <w:vertAlign w:val="superscript"/>
        </w:rPr>
        <w:t>3</w:t>
      </w:r>
      <w:r w:rsidRPr="006C5294">
        <w:rPr>
          <w:rFonts w:asciiTheme="majorBidi" w:eastAsia="Calibri" w:hAnsiTheme="majorBidi" w:cstheme="majorBidi"/>
        </w:rPr>
        <w:t xml:space="preserve"> </w:t>
      </w:r>
      <w:r w:rsidRPr="006C5294">
        <w:rPr>
          <w:rFonts w:asciiTheme="majorBidi" w:hAnsiTheme="majorBidi" w:cstheme="majorBidi"/>
        </w:rPr>
        <w:t xml:space="preserve">Department of Genetics, Faculty of Biological Sciences, </w:t>
      </w:r>
      <w:proofErr w:type="spellStart"/>
      <w:r w:rsidRPr="006C5294">
        <w:rPr>
          <w:rFonts w:asciiTheme="majorBidi" w:hAnsiTheme="majorBidi" w:cstheme="majorBidi"/>
        </w:rPr>
        <w:t>Tarbiat</w:t>
      </w:r>
      <w:proofErr w:type="spellEnd"/>
      <w:r w:rsidRPr="006C5294">
        <w:rPr>
          <w:rFonts w:asciiTheme="majorBidi" w:hAnsiTheme="majorBidi" w:cstheme="majorBidi"/>
        </w:rPr>
        <w:t xml:space="preserve"> </w:t>
      </w:r>
      <w:proofErr w:type="spellStart"/>
      <w:r w:rsidRPr="006C5294">
        <w:rPr>
          <w:rFonts w:asciiTheme="majorBidi" w:hAnsiTheme="majorBidi" w:cstheme="majorBidi"/>
        </w:rPr>
        <w:t>Modares</w:t>
      </w:r>
      <w:proofErr w:type="spellEnd"/>
      <w:r w:rsidRPr="006C5294">
        <w:rPr>
          <w:rFonts w:asciiTheme="majorBidi" w:hAnsiTheme="majorBidi" w:cstheme="majorBidi"/>
        </w:rPr>
        <w:t xml:space="preserve"> University, Tehran, Iran</w:t>
      </w:r>
    </w:p>
    <w:p w:rsidR="00907D14" w:rsidRPr="006C5294" w:rsidRDefault="00907D14" w:rsidP="006C5294">
      <w:pPr>
        <w:jc w:val="both"/>
        <w:rPr>
          <w:rFonts w:asciiTheme="majorBidi" w:hAnsiTheme="majorBidi" w:cstheme="majorBidi"/>
          <w:sz w:val="24"/>
          <w:szCs w:val="24"/>
        </w:rPr>
      </w:pPr>
    </w:p>
    <w:p w:rsidR="00907D14" w:rsidRPr="006C5294" w:rsidRDefault="00907D14" w:rsidP="006C5294">
      <w:pPr>
        <w:jc w:val="both"/>
        <w:rPr>
          <w:rFonts w:asciiTheme="majorBidi" w:hAnsiTheme="majorBidi" w:cstheme="majorBidi"/>
          <w:sz w:val="24"/>
          <w:szCs w:val="24"/>
        </w:rPr>
      </w:pPr>
      <w:r w:rsidRPr="006C5294">
        <w:rPr>
          <w:rFonts w:asciiTheme="majorBidi" w:hAnsiTheme="majorBidi" w:cstheme="majorBidi"/>
          <w:sz w:val="24"/>
          <w:szCs w:val="24"/>
        </w:rPr>
        <w:t>Abstract</w:t>
      </w:r>
    </w:p>
    <w:p w:rsidR="00B53C27" w:rsidRPr="006C5294" w:rsidRDefault="00F115EF" w:rsidP="006C5294">
      <w:pPr>
        <w:jc w:val="both"/>
        <w:rPr>
          <w:rFonts w:asciiTheme="majorBidi" w:hAnsiTheme="majorBidi" w:cstheme="majorBidi"/>
          <w:sz w:val="24"/>
          <w:szCs w:val="24"/>
          <w:rtl/>
        </w:rPr>
      </w:pPr>
      <w:r w:rsidRPr="006C5294">
        <w:rPr>
          <w:rFonts w:asciiTheme="majorBidi" w:hAnsiTheme="majorBidi" w:cstheme="majorBidi"/>
          <w:sz w:val="24"/>
          <w:szCs w:val="24"/>
        </w:rPr>
        <w:t xml:space="preserve">The prevalence and mortality of pancreatic cancer (PC) are high. Pancreatic cancer patients and medical professionals are unable to diagnose the disease in its early stages </w:t>
      </w:r>
      <w:r w:rsidR="00907D14" w:rsidRPr="006C5294">
        <w:rPr>
          <w:rFonts w:asciiTheme="majorBidi" w:hAnsiTheme="majorBidi" w:cstheme="majorBidi"/>
          <w:sz w:val="24"/>
          <w:szCs w:val="24"/>
        </w:rPr>
        <w:t>as</w:t>
      </w:r>
      <w:r w:rsidRPr="006C5294">
        <w:rPr>
          <w:rFonts w:asciiTheme="majorBidi" w:hAnsiTheme="majorBidi" w:cstheme="majorBidi"/>
          <w:sz w:val="24"/>
          <w:szCs w:val="24"/>
        </w:rPr>
        <w:t xml:space="preserve"> patients don't exhibit precise and clinical symptoms until the later stages of the disease. Although oxidative stress has been proposed as one of the disease's causes, its primary cause has not yet been identified. New targets for the detection and therapy of diseases like cancer, neurological disorders, autoimmune conditions, and inflammation include </w:t>
      </w:r>
      <w:r w:rsidR="006C5294" w:rsidRPr="006C5294">
        <w:rPr>
          <w:rFonts w:asciiTheme="majorBidi" w:hAnsiTheme="majorBidi" w:cstheme="majorBidi"/>
          <w:sz w:val="24"/>
          <w:szCs w:val="24"/>
        </w:rPr>
        <w:t>long non-coding RNA</w:t>
      </w:r>
      <w:r w:rsidR="006C5294" w:rsidRPr="006C5294">
        <w:rPr>
          <w:rFonts w:asciiTheme="majorBidi" w:hAnsiTheme="majorBidi" w:cstheme="majorBidi"/>
          <w:sz w:val="24"/>
          <w:szCs w:val="24"/>
        </w:rPr>
        <w:t>s (</w:t>
      </w:r>
      <w:proofErr w:type="spellStart"/>
      <w:r w:rsidRPr="006C5294">
        <w:rPr>
          <w:rFonts w:asciiTheme="majorBidi" w:hAnsiTheme="majorBidi" w:cstheme="majorBidi"/>
          <w:sz w:val="24"/>
          <w:szCs w:val="24"/>
        </w:rPr>
        <w:t>lncRNAs</w:t>
      </w:r>
      <w:proofErr w:type="spellEnd"/>
      <w:r w:rsidR="006C5294" w:rsidRPr="006C5294">
        <w:rPr>
          <w:rFonts w:asciiTheme="majorBidi" w:hAnsiTheme="majorBidi" w:cstheme="majorBidi"/>
          <w:sz w:val="24"/>
          <w:szCs w:val="24"/>
        </w:rPr>
        <w:t>)</w:t>
      </w:r>
      <w:r w:rsidRPr="006C5294">
        <w:rPr>
          <w:rFonts w:asciiTheme="majorBidi" w:hAnsiTheme="majorBidi" w:cstheme="majorBidi"/>
          <w:sz w:val="24"/>
          <w:szCs w:val="24"/>
        </w:rPr>
        <w:t xml:space="preserve">. Additionally, </w:t>
      </w:r>
      <w:proofErr w:type="spellStart"/>
      <w:r w:rsidRPr="006C5294">
        <w:rPr>
          <w:rFonts w:asciiTheme="majorBidi" w:hAnsiTheme="majorBidi" w:cstheme="majorBidi"/>
          <w:sz w:val="24"/>
          <w:szCs w:val="24"/>
        </w:rPr>
        <w:t>lncRNAs</w:t>
      </w:r>
      <w:proofErr w:type="spellEnd"/>
      <w:r w:rsidRPr="006C5294">
        <w:rPr>
          <w:rFonts w:asciiTheme="majorBidi" w:hAnsiTheme="majorBidi" w:cstheme="majorBidi"/>
          <w:sz w:val="24"/>
          <w:szCs w:val="24"/>
        </w:rPr>
        <w:t xml:space="preserve"> are involved in controlling oxidative stress.</w:t>
      </w:r>
      <w:r w:rsidRPr="006C5294">
        <w:rPr>
          <w:rFonts w:asciiTheme="majorBidi" w:hAnsiTheme="majorBidi" w:cstheme="majorBidi"/>
          <w:sz w:val="24"/>
          <w:szCs w:val="24"/>
        </w:rPr>
        <w:t xml:space="preserve"> </w:t>
      </w:r>
      <w:r w:rsidR="009C6FC5" w:rsidRPr="006C5294">
        <w:rPr>
          <w:rFonts w:asciiTheme="majorBidi" w:hAnsiTheme="majorBidi" w:cstheme="majorBidi"/>
          <w:sz w:val="24"/>
          <w:szCs w:val="24"/>
        </w:rPr>
        <w:t>I</w:t>
      </w:r>
      <w:r w:rsidR="009C6FC5" w:rsidRPr="006C5294">
        <w:rPr>
          <w:rFonts w:asciiTheme="majorBidi" w:hAnsiTheme="majorBidi" w:cstheme="majorBidi"/>
          <w:sz w:val="24"/>
          <w:szCs w:val="24"/>
        </w:rPr>
        <w:t>n the current study</w:t>
      </w:r>
      <w:r w:rsidR="00D362B0" w:rsidRPr="006C5294">
        <w:rPr>
          <w:rFonts w:asciiTheme="majorBidi" w:hAnsiTheme="majorBidi" w:cstheme="majorBidi"/>
          <w:sz w:val="24"/>
          <w:szCs w:val="24"/>
        </w:rPr>
        <w:t>, for the first time, t</w:t>
      </w:r>
      <w:r w:rsidRPr="006C5294">
        <w:rPr>
          <w:rFonts w:asciiTheme="majorBidi" w:hAnsiTheme="majorBidi" w:cstheme="majorBidi"/>
          <w:sz w:val="24"/>
          <w:szCs w:val="24"/>
        </w:rPr>
        <w:t xml:space="preserve">he expression levels of lincRNA-p21, SCAL1 (LUCAT1), RMST, FOXD3, and MT1DP </w:t>
      </w:r>
      <w:proofErr w:type="spellStart"/>
      <w:r w:rsidRPr="006C5294">
        <w:rPr>
          <w:rFonts w:asciiTheme="majorBidi" w:hAnsiTheme="majorBidi" w:cstheme="majorBidi"/>
          <w:sz w:val="24"/>
          <w:szCs w:val="24"/>
        </w:rPr>
        <w:t>lncRNAs</w:t>
      </w:r>
      <w:proofErr w:type="spellEnd"/>
      <w:r w:rsidRPr="006C5294">
        <w:rPr>
          <w:rFonts w:asciiTheme="majorBidi" w:hAnsiTheme="majorBidi" w:cstheme="majorBidi"/>
          <w:sz w:val="24"/>
          <w:szCs w:val="24"/>
        </w:rPr>
        <w:t xml:space="preserve"> in the PBMC from PC patients and controls were examined. </w:t>
      </w:r>
      <w:r w:rsidR="00B53C27" w:rsidRPr="006C5294">
        <w:rPr>
          <w:rFonts w:asciiTheme="majorBidi" w:hAnsiTheme="majorBidi" w:cstheme="majorBidi"/>
          <w:sz w:val="24"/>
          <w:szCs w:val="24"/>
        </w:rPr>
        <w:t xml:space="preserve">The findings of this study show that PC patients have considerably lower expression levels of lincRNA-P21 and RMST </w:t>
      </w:r>
      <w:proofErr w:type="spellStart"/>
      <w:r w:rsidR="00B53C27" w:rsidRPr="006C5294">
        <w:rPr>
          <w:rFonts w:asciiTheme="majorBidi" w:hAnsiTheme="majorBidi" w:cstheme="majorBidi"/>
          <w:sz w:val="24"/>
          <w:szCs w:val="24"/>
        </w:rPr>
        <w:t>lncRNAs</w:t>
      </w:r>
      <w:proofErr w:type="spellEnd"/>
      <w:r w:rsidR="00B53C27" w:rsidRPr="006C5294">
        <w:rPr>
          <w:rFonts w:asciiTheme="majorBidi" w:hAnsiTheme="majorBidi" w:cstheme="majorBidi"/>
          <w:sz w:val="24"/>
          <w:szCs w:val="24"/>
        </w:rPr>
        <w:t xml:space="preserve">. Compared to TNM stage I–II patients, the expression of the </w:t>
      </w:r>
      <w:proofErr w:type="spellStart"/>
      <w:r w:rsidR="00B53C27" w:rsidRPr="006C5294">
        <w:rPr>
          <w:rFonts w:asciiTheme="majorBidi" w:hAnsiTheme="majorBidi" w:cstheme="majorBidi"/>
          <w:sz w:val="24"/>
          <w:szCs w:val="24"/>
        </w:rPr>
        <w:t>lncRNA</w:t>
      </w:r>
      <w:proofErr w:type="spellEnd"/>
      <w:r w:rsidR="00B53C27" w:rsidRPr="006C5294">
        <w:rPr>
          <w:rFonts w:asciiTheme="majorBidi" w:hAnsiTheme="majorBidi" w:cstheme="majorBidi"/>
          <w:sz w:val="24"/>
          <w:szCs w:val="24"/>
        </w:rPr>
        <w:t xml:space="preserve"> RMST was significantly higher in TNM stage III–IV patients. A substantial positive correlation was found between potential </w:t>
      </w:r>
      <w:proofErr w:type="spellStart"/>
      <w:r w:rsidR="00B53C27" w:rsidRPr="006C5294">
        <w:rPr>
          <w:rFonts w:asciiTheme="majorBidi" w:hAnsiTheme="majorBidi" w:cstheme="majorBidi"/>
          <w:sz w:val="24"/>
          <w:szCs w:val="24"/>
        </w:rPr>
        <w:t>lncRNA</w:t>
      </w:r>
      <w:proofErr w:type="spellEnd"/>
      <w:r w:rsidR="00B53C27" w:rsidRPr="006C5294">
        <w:rPr>
          <w:rFonts w:asciiTheme="majorBidi" w:hAnsiTheme="majorBidi" w:cstheme="majorBidi"/>
          <w:sz w:val="24"/>
          <w:szCs w:val="24"/>
        </w:rPr>
        <w:t xml:space="preserve"> expression and expression. Last but not least, lincRNA-p21 (AUC=0.60) and RMST (AUC=0.61) had biomarker values that were nearly significant according to ROC curve analysis among the five </w:t>
      </w:r>
      <w:r w:rsidR="00B53C27" w:rsidRPr="006C5294">
        <w:rPr>
          <w:rFonts w:asciiTheme="majorBidi" w:hAnsiTheme="majorBidi" w:cstheme="majorBidi"/>
          <w:sz w:val="24"/>
          <w:szCs w:val="24"/>
        </w:rPr>
        <w:t>stated</w:t>
      </w:r>
      <w:r w:rsidR="00B53C27" w:rsidRPr="006C5294">
        <w:rPr>
          <w:rFonts w:asciiTheme="majorBidi" w:hAnsiTheme="majorBidi" w:cstheme="majorBidi"/>
          <w:sz w:val="24"/>
          <w:szCs w:val="24"/>
        </w:rPr>
        <w:t xml:space="preserve"> genes, and their biomarker roles may be explored in future studies.</w:t>
      </w:r>
    </w:p>
    <w:p w:rsidR="004E59AE" w:rsidRPr="006C5294" w:rsidRDefault="004E59AE" w:rsidP="006C5294">
      <w:pPr>
        <w:pStyle w:val="NormalWeb"/>
        <w:spacing w:after="0" w:line="360" w:lineRule="auto"/>
        <w:jc w:val="both"/>
        <w:rPr>
          <w:rFonts w:asciiTheme="majorBidi" w:hAnsiTheme="majorBidi" w:cstheme="majorBidi"/>
          <w:color w:val="0E101A"/>
        </w:rPr>
      </w:pPr>
      <w:r w:rsidRPr="006C5294">
        <w:rPr>
          <w:rFonts w:asciiTheme="majorBidi" w:hAnsiTheme="majorBidi" w:cstheme="majorBidi"/>
          <w:color w:val="0E101A"/>
        </w:rPr>
        <w:t xml:space="preserve">Keywords: RMST, lincRNA-p21, stress oxidative, pancreatic cancer, biomarker, </w:t>
      </w:r>
      <w:proofErr w:type="spellStart"/>
      <w:r w:rsidRPr="006C5294">
        <w:rPr>
          <w:rFonts w:asciiTheme="majorBidi" w:hAnsiTheme="majorBidi" w:cstheme="majorBidi"/>
          <w:color w:val="0E101A"/>
        </w:rPr>
        <w:t>lncRNA</w:t>
      </w:r>
      <w:proofErr w:type="spellEnd"/>
    </w:p>
    <w:p w:rsidR="004E59AE" w:rsidRPr="006C5294" w:rsidRDefault="004E59AE" w:rsidP="006C5294">
      <w:pPr>
        <w:jc w:val="both"/>
        <w:rPr>
          <w:rFonts w:asciiTheme="majorBidi" w:hAnsiTheme="majorBidi" w:cstheme="majorBidi"/>
          <w:sz w:val="24"/>
          <w:szCs w:val="24"/>
        </w:rPr>
      </w:pPr>
    </w:p>
    <w:sectPr w:rsidR="004E59AE" w:rsidRPr="006C5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EF"/>
    <w:rsid w:val="00074A2A"/>
    <w:rsid w:val="00217841"/>
    <w:rsid w:val="00264F87"/>
    <w:rsid w:val="004E59AE"/>
    <w:rsid w:val="006C5294"/>
    <w:rsid w:val="007F2E1F"/>
    <w:rsid w:val="00907D14"/>
    <w:rsid w:val="009C6FC5"/>
    <w:rsid w:val="00AC62A1"/>
    <w:rsid w:val="00B15873"/>
    <w:rsid w:val="00B53C27"/>
    <w:rsid w:val="00D362B0"/>
    <w:rsid w:val="00E93513"/>
    <w:rsid w:val="00F11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28C98-5D8C-4338-AF85-DD6C62B2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07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907D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2023-10-01T17:05:00Z</dcterms:created>
  <dcterms:modified xsi:type="dcterms:W3CDTF">2023-10-01T17:25:00Z</dcterms:modified>
</cp:coreProperties>
</file>