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E5" w:rsidRPr="00197C17" w:rsidRDefault="009D1FE5" w:rsidP="00CC1AF1">
      <w:pPr>
        <w:tabs>
          <w:tab w:val="left" w:pos="270"/>
        </w:tabs>
        <w:spacing w:line="480" w:lineRule="auto"/>
        <w:ind w:left="270" w:right="180"/>
        <w:jc w:val="both"/>
        <w:rPr>
          <w:rFonts w:asciiTheme="majorBidi" w:hAnsiTheme="majorBidi" w:cstheme="majorBidi"/>
          <w:sz w:val="20"/>
          <w:szCs w:val="20"/>
          <w:rtl/>
          <w:lang w:bidi="fa-IR"/>
        </w:rPr>
      </w:pPr>
      <w:r w:rsidRPr="00197C17">
        <w:rPr>
          <w:rFonts w:asciiTheme="majorBidi" w:hAnsiTheme="majorBidi" w:cstheme="majorBidi"/>
          <w:sz w:val="20"/>
          <w:szCs w:val="20"/>
        </w:rPr>
        <w:t xml:space="preserve">Title: </w:t>
      </w:r>
      <w:r w:rsidR="00CC1AF1" w:rsidRPr="00CC1AF1">
        <w:rPr>
          <w:rFonts w:asciiTheme="majorBidi" w:hAnsiTheme="majorBidi" w:cstheme="majorBidi"/>
          <w:sz w:val="20"/>
          <w:szCs w:val="20"/>
        </w:rPr>
        <w:t xml:space="preserve">Can certain clinical traits of </w:t>
      </w:r>
      <w:proofErr w:type="spellStart"/>
      <w:r w:rsidR="00CC1AF1" w:rsidRPr="00CC1AF1">
        <w:rPr>
          <w:rFonts w:asciiTheme="majorBidi" w:hAnsiTheme="majorBidi" w:cstheme="majorBidi"/>
          <w:sz w:val="20"/>
          <w:szCs w:val="20"/>
        </w:rPr>
        <w:t>myeloproliferative</w:t>
      </w:r>
      <w:proofErr w:type="spellEnd"/>
      <w:r w:rsidR="00CC1AF1" w:rsidRPr="00CC1AF1">
        <w:rPr>
          <w:rFonts w:asciiTheme="majorBidi" w:hAnsiTheme="majorBidi" w:cstheme="majorBidi"/>
          <w:sz w:val="20"/>
          <w:szCs w:val="20"/>
        </w:rPr>
        <w:t xml:space="preserve"> diseases be predicted by heterogenic patterns of the JAK2, MPL, and CALR genes?</w:t>
      </w:r>
    </w:p>
    <w:p w:rsidR="009D1FE5" w:rsidRPr="00197C17" w:rsidRDefault="009D1FE5" w:rsidP="00CC1AF1">
      <w:pPr>
        <w:tabs>
          <w:tab w:val="left" w:pos="270"/>
        </w:tabs>
        <w:spacing w:after="0" w:line="480" w:lineRule="auto"/>
        <w:ind w:left="270" w:right="180"/>
        <w:jc w:val="both"/>
        <w:rPr>
          <w:rFonts w:asciiTheme="majorBidi" w:hAnsiTheme="majorBidi" w:cstheme="majorBidi"/>
          <w:sz w:val="20"/>
          <w:szCs w:val="20"/>
        </w:rPr>
      </w:pPr>
      <w:r w:rsidRPr="00197C17">
        <w:rPr>
          <w:rFonts w:asciiTheme="majorBidi" w:hAnsiTheme="majorBidi" w:cstheme="majorBidi"/>
          <w:sz w:val="20"/>
          <w:szCs w:val="20"/>
        </w:rPr>
        <w:t xml:space="preserve">Authors: </w:t>
      </w:r>
      <w:proofErr w:type="spellStart"/>
      <w:r w:rsidRPr="00197C17">
        <w:rPr>
          <w:rFonts w:asciiTheme="majorBidi" w:hAnsiTheme="majorBidi" w:cstheme="majorBidi"/>
          <w:sz w:val="20"/>
          <w:szCs w:val="20"/>
        </w:rPr>
        <w:t>Measam</w:t>
      </w:r>
      <w:proofErr w:type="spellEnd"/>
      <w:r w:rsidRPr="00197C17">
        <w:rPr>
          <w:rFonts w:asciiTheme="majorBidi" w:hAnsiTheme="majorBidi" w:cstheme="majorBidi"/>
          <w:sz w:val="20"/>
          <w:szCs w:val="20"/>
        </w:rPr>
        <w:t xml:space="preserve"> </w:t>
      </w:r>
      <w:proofErr w:type="spellStart"/>
      <w:r w:rsidRPr="00197C17">
        <w:rPr>
          <w:rFonts w:asciiTheme="majorBidi" w:hAnsiTheme="majorBidi" w:cstheme="majorBidi"/>
          <w:sz w:val="20"/>
          <w:szCs w:val="20"/>
        </w:rPr>
        <w:t>Morsali</w:t>
      </w:r>
      <w:proofErr w:type="spellEnd"/>
      <w:r w:rsidRPr="00197C17">
        <w:rPr>
          <w:rFonts w:asciiTheme="majorBidi" w:hAnsiTheme="majorBidi" w:cstheme="majorBidi"/>
          <w:sz w:val="20"/>
          <w:szCs w:val="20"/>
        </w:rPr>
        <w:t xml:space="preserve"> </w:t>
      </w:r>
      <w:r w:rsidRPr="00197C17">
        <w:rPr>
          <w:rFonts w:asciiTheme="majorBidi" w:hAnsiTheme="majorBidi" w:cstheme="majorBidi"/>
          <w:i/>
          <w:iCs/>
          <w:sz w:val="20"/>
          <w:szCs w:val="20"/>
          <w:vertAlign w:val="superscript"/>
        </w:rPr>
        <w:t>a</w:t>
      </w:r>
      <w:r w:rsidRPr="00197C17">
        <w:rPr>
          <w:rFonts w:asciiTheme="majorBidi" w:hAnsiTheme="majorBidi" w:cstheme="majorBidi"/>
          <w:sz w:val="20"/>
          <w:szCs w:val="20"/>
        </w:rPr>
        <w:t xml:space="preserve">, </w:t>
      </w:r>
      <w:proofErr w:type="spellStart"/>
      <w:r w:rsidRPr="00197C17">
        <w:rPr>
          <w:rFonts w:asciiTheme="majorBidi" w:hAnsiTheme="majorBidi" w:cstheme="majorBidi"/>
          <w:sz w:val="20"/>
          <w:szCs w:val="20"/>
        </w:rPr>
        <w:t>Mahdieh</w:t>
      </w:r>
      <w:proofErr w:type="spellEnd"/>
      <w:r w:rsidRPr="00197C17">
        <w:rPr>
          <w:rFonts w:asciiTheme="majorBidi" w:hAnsiTheme="majorBidi" w:cstheme="majorBidi"/>
          <w:sz w:val="20"/>
          <w:szCs w:val="20"/>
        </w:rPr>
        <w:t xml:space="preserve"> </w:t>
      </w:r>
      <w:proofErr w:type="spellStart"/>
      <w:r w:rsidRPr="00197C17">
        <w:rPr>
          <w:rFonts w:asciiTheme="majorBidi" w:hAnsiTheme="majorBidi" w:cstheme="majorBidi"/>
          <w:sz w:val="20"/>
          <w:szCs w:val="20"/>
        </w:rPr>
        <w:t>Mehrab</w:t>
      </w:r>
      <w:proofErr w:type="spellEnd"/>
      <w:r w:rsidRPr="00197C17">
        <w:rPr>
          <w:rFonts w:asciiTheme="majorBidi" w:hAnsiTheme="majorBidi" w:cstheme="majorBidi"/>
          <w:sz w:val="20"/>
          <w:szCs w:val="20"/>
        </w:rPr>
        <w:t xml:space="preserve"> </w:t>
      </w:r>
      <w:proofErr w:type="spellStart"/>
      <w:r w:rsidRPr="00197C17">
        <w:rPr>
          <w:rFonts w:asciiTheme="majorBidi" w:hAnsiTheme="majorBidi" w:cstheme="majorBidi"/>
          <w:sz w:val="20"/>
          <w:szCs w:val="20"/>
        </w:rPr>
        <w:t>Mohseni</w:t>
      </w:r>
      <w:proofErr w:type="spellEnd"/>
      <w:r w:rsidRPr="00197C17">
        <w:rPr>
          <w:rFonts w:asciiTheme="majorBidi" w:hAnsiTheme="majorBidi" w:cstheme="majorBidi"/>
          <w:sz w:val="20"/>
          <w:szCs w:val="20"/>
        </w:rPr>
        <w:t xml:space="preserve"> </w:t>
      </w:r>
      <w:r w:rsidRPr="00197C17">
        <w:rPr>
          <w:rFonts w:asciiTheme="majorBidi" w:hAnsiTheme="majorBidi" w:cstheme="majorBidi"/>
          <w:i/>
          <w:iCs/>
          <w:sz w:val="20"/>
          <w:szCs w:val="20"/>
          <w:vertAlign w:val="superscript"/>
        </w:rPr>
        <w:t>a</w:t>
      </w:r>
      <w:r w:rsidRPr="00197C17">
        <w:rPr>
          <w:rFonts w:asciiTheme="majorBidi" w:hAnsiTheme="majorBidi" w:cstheme="majorBidi"/>
          <w:sz w:val="20"/>
          <w:szCs w:val="20"/>
        </w:rPr>
        <w:t xml:space="preserve">, Maryam </w:t>
      </w:r>
      <w:proofErr w:type="spellStart"/>
      <w:r w:rsidRPr="00197C17">
        <w:rPr>
          <w:rFonts w:asciiTheme="majorBidi" w:hAnsiTheme="majorBidi" w:cstheme="majorBidi"/>
          <w:sz w:val="20"/>
          <w:szCs w:val="20"/>
        </w:rPr>
        <w:t>Naseroleslami</w:t>
      </w:r>
      <w:proofErr w:type="spellEnd"/>
      <w:r w:rsidRPr="00197C17">
        <w:rPr>
          <w:rFonts w:asciiTheme="majorBidi" w:hAnsiTheme="majorBidi" w:cstheme="majorBidi"/>
          <w:sz w:val="20"/>
          <w:szCs w:val="20"/>
        </w:rPr>
        <w:t xml:space="preserve"> </w:t>
      </w:r>
      <w:r w:rsidRPr="00197C17">
        <w:rPr>
          <w:rFonts w:asciiTheme="majorBidi" w:hAnsiTheme="majorBidi" w:cstheme="majorBidi"/>
          <w:i/>
          <w:iCs/>
          <w:sz w:val="20"/>
          <w:szCs w:val="20"/>
          <w:vertAlign w:val="superscript"/>
        </w:rPr>
        <w:t>a</w:t>
      </w:r>
    </w:p>
    <w:p w:rsidR="00CC1AF1" w:rsidRDefault="00CC1AF1" w:rsidP="009D1FE5">
      <w:pPr>
        <w:tabs>
          <w:tab w:val="left" w:pos="270"/>
        </w:tabs>
        <w:spacing w:line="480" w:lineRule="auto"/>
        <w:ind w:left="270" w:right="180"/>
        <w:jc w:val="both"/>
        <w:rPr>
          <w:rFonts w:asciiTheme="majorBidi" w:hAnsiTheme="majorBidi" w:cstheme="majorBidi"/>
          <w:sz w:val="20"/>
          <w:szCs w:val="20"/>
          <w:rtl/>
        </w:rPr>
      </w:pPr>
    </w:p>
    <w:p w:rsidR="009D1FE5" w:rsidRPr="00197C17" w:rsidRDefault="009D1FE5" w:rsidP="009D1FE5">
      <w:pPr>
        <w:tabs>
          <w:tab w:val="left" w:pos="270"/>
        </w:tabs>
        <w:spacing w:line="480" w:lineRule="auto"/>
        <w:ind w:left="270" w:right="180"/>
        <w:jc w:val="both"/>
        <w:rPr>
          <w:rFonts w:asciiTheme="majorBidi" w:hAnsiTheme="majorBidi" w:cstheme="majorBidi"/>
          <w:sz w:val="20"/>
          <w:szCs w:val="20"/>
        </w:rPr>
      </w:pPr>
      <w:r w:rsidRPr="00197C17">
        <w:rPr>
          <w:rFonts w:asciiTheme="majorBidi" w:hAnsiTheme="majorBidi" w:cstheme="majorBidi"/>
          <w:sz w:val="20"/>
          <w:szCs w:val="20"/>
        </w:rPr>
        <w:t>Affiliation:</w:t>
      </w:r>
    </w:p>
    <w:p w:rsidR="009D1FE5" w:rsidRPr="00197C17" w:rsidRDefault="009D1FE5" w:rsidP="009D1FE5">
      <w:pPr>
        <w:tabs>
          <w:tab w:val="left" w:pos="270"/>
        </w:tabs>
        <w:spacing w:after="0" w:line="480" w:lineRule="auto"/>
        <w:ind w:left="270" w:right="180"/>
        <w:jc w:val="both"/>
        <w:rPr>
          <w:rFonts w:asciiTheme="majorBidi" w:hAnsiTheme="majorBidi" w:cstheme="majorBidi"/>
          <w:sz w:val="20"/>
          <w:szCs w:val="20"/>
        </w:rPr>
      </w:pPr>
      <w:r w:rsidRPr="00197C17">
        <w:rPr>
          <w:rFonts w:asciiTheme="majorBidi" w:hAnsiTheme="majorBidi" w:cstheme="majorBidi"/>
          <w:sz w:val="20"/>
          <w:szCs w:val="20"/>
        </w:rPr>
        <w:t>a Department of Cellular and Molecular Biology, Faculty of Advanced Science</w:t>
      </w:r>
      <w:r w:rsidRPr="00197C17">
        <w:rPr>
          <w:rFonts w:asciiTheme="majorBidi" w:hAnsiTheme="majorBidi" w:cstheme="majorBidi"/>
          <w:iCs/>
          <w:sz w:val="20"/>
          <w:szCs w:val="20"/>
        </w:rPr>
        <w:t xml:space="preserve"> </w:t>
      </w:r>
      <w:r w:rsidRPr="00197C17">
        <w:rPr>
          <w:rFonts w:asciiTheme="majorBidi" w:hAnsiTheme="majorBidi" w:cstheme="majorBidi"/>
          <w:sz w:val="20"/>
          <w:szCs w:val="20"/>
        </w:rPr>
        <w:t>and Technology, Tehran Medical Sciences, Islamic Azad University, Tehran, Iran, +98</w:t>
      </w:r>
    </w:p>
    <w:p w:rsidR="009D1FE5" w:rsidRPr="00197C17" w:rsidRDefault="009D1FE5" w:rsidP="009D1FE5">
      <w:pPr>
        <w:tabs>
          <w:tab w:val="left" w:pos="270"/>
        </w:tabs>
        <w:spacing w:after="0" w:line="480" w:lineRule="auto"/>
        <w:ind w:left="270" w:right="180"/>
        <w:jc w:val="both"/>
        <w:rPr>
          <w:rFonts w:asciiTheme="majorBidi" w:hAnsiTheme="majorBidi" w:cstheme="majorBidi"/>
          <w:sz w:val="20"/>
          <w:szCs w:val="20"/>
        </w:rPr>
      </w:pPr>
      <w:proofErr w:type="gramStart"/>
      <w:r w:rsidRPr="00197C17">
        <w:rPr>
          <w:rFonts w:asciiTheme="majorBidi" w:hAnsiTheme="majorBidi" w:cstheme="majorBidi"/>
          <w:sz w:val="20"/>
          <w:szCs w:val="20"/>
        </w:rPr>
        <w:t>e-mail</w:t>
      </w:r>
      <w:proofErr w:type="gramEnd"/>
      <w:r w:rsidRPr="00197C17">
        <w:rPr>
          <w:rFonts w:asciiTheme="majorBidi" w:hAnsiTheme="majorBidi" w:cstheme="majorBidi"/>
          <w:sz w:val="20"/>
          <w:szCs w:val="20"/>
        </w:rPr>
        <w:t xml:space="preserve">: </w:t>
      </w:r>
      <w:hyperlink r:id="rId4" w:tgtFrame="_blank" w:history="1">
        <w:r w:rsidRPr="00197C17">
          <w:rPr>
            <w:rFonts w:asciiTheme="majorBidi" w:hAnsiTheme="majorBidi" w:cstheme="majorBidi"/>
            <w:sz w:val="20"/>
            <w:szCs w:val="20"/>
          </w:rPr>
          <w:t>measammorsali@gmail.com</w:t>
        </w:r>
      </w:hyperlink>
    </w:p>
    <w:p w:rsidR="009D1FE5" w:rsidRPr="00197C17" w:rsidRDefault="009D1FE5" w:rsidP="009D1FE5">
      <w:pPr>
        <w:tabs>
          <w:tab w:val="left" w:pos="270"/>
        </w:tabs>
        <w:spacing w:after="0" w:line="480" w:lineRule="auto"/>
        <w:ind w:left="270" w:right="180"/>
        <w:jc w:val="both"/>
        <w:rPr>
          <w:rFonts w:asciiTheme="majorBidi" w:hAnsiTheme="majorBidi" w:cstheme="majorBidi"/>
          <w:sz w:val="20"/>
          <w:szCs w:val="20"/>
        </w:rPr>
      </w:pPr>
      <w:proofErr w:type="gramStart"/>
      <w:r w:rsidRPr="00197C17">
        <w:rPr>
          <w:rFonts w:asciiTheme="majorBidi" w:hAnsiTheme="majorBidi" w:cstheme="majorBidi"/>
          <w:sz w:val="20"/>
          <w:szCs w:val="20"/>
        </w:rPr>
        <w:t>e-mail</w:t>
      </w:r>
      <w:proofErr w:type="gramEnd"/>
      <w:r w:rsidRPr="00197C17">
        <w:rPr>
          <w:rFonts w:asciiTheme="majorBidi" w:hAnsiTheme="majorBidi" w:cstheme="majorBidi"/>
          <w:sz w:val="20"/>
          <w:szCs w:val="20"/>
        </w:rPr>
        <w:t xml:space="preserve">: mahdiehmehrabmohseni@gmail.com </w:t>
      </w:r>
    </w:p>
    <w:p w:rsidR="009D1FE5" w:rsidRPr="00197C17" w:rsidRDefault="009D1FE5" w:rsidP="009D1FE5">
      <w:pPr>
        <w:tabs>
          <w:tab w:val="left" w:pos="270"/>
        </w:tabs>
        <w:spacing w:after="0" w:line="480" w:lineRule="auto"/>
        <w:ind w:left="270" w:right="180"/>
        <w:jc w:val="both"/>
        <w:rPr>
          <w:rStyle w:val="Hyperlink"/>
          <w:rFonts w:asciiTheme="majorBidi" w:hAnsiTheme="majorBidi" w:cstheme="majorBidi"/>
          <w:sz w:val="20"/>
          <w:szCs w:val="20"/>
        </w:rPr>
      </w:pPr>
      <w:proofErr w:type="gramStart"/>
      <w:r w:rsidRPr="00197C17">
        <w:rPr>
          <w:rFonts w:asciiTheme="majorBidi" w:hAnsiTheme="majorBidi" w:cstheme="majorBidi"/>
          <w:sz w:val="20"/>
          <w:szCs w:val="20"/>
        </w:rPr>
        <w:t>e-mail</w:t>
      </w:r>
      <w:proofErr w:type="gramEnd"/>
      <w:r w:rsidRPr="00197C17">
        <w:rPr>
          <w:rFonts w:asciiTheme="majorBidi" w:hAnsiTheme="majorBidi" w:cstheme="majorBidi"/>
          <w:sz w:val="20"/>
          <w:szCs w:val="20"/>
        </w:rPr>
        <w:t xml:space="preserve">: </w:t>
      </w:r>
      <w:hyperlink r:id="rId5" w:history="1">
        <w:r w:rsidRPr="00197C17">
          <w:rPr>
            <w:rStyle w:val="Hyperlink"/>
            <w:rFonts w:asciiTheme="majorBidi" w:hAnsiTheme="majorBidi" w:cstheme="majorBidi"/>
            <w:sz w:val="20"/>
            <w:szCs w:val="20"/>
          </w:rPr>
          <w:t>naseroleslami@gmail.com</w:t>
        </w:r>
      </w:hyperlink>
    </w:p>
    <w:p w:rsidR="009D1FE5" w:rsidRPr="00197C17" w:rsidRDefault="009D1FE5" w:rsidP="009D1FE5">
      <w:pPr>
        <w:tabs>
          <w:tab w:val="left" w:pos="270"/>
        </w:tabs>
        <w:spacing w:after="0" w:line="480" w:lineRule="auto"/>
        <w:ind w:left="270" w:right="180"/>
        <w:jc w:val="both"/>
        <w:rPr>
          <w:rFonts w:asciiTheme="majorBidi" w:hAnsiTheme="majorBidi" w:cstheme="majorBidi"/>
          <w:sz w:val="20"/>
          <w:szCs w:val="20"/>
        </w:rPr>
      </w:pPr>
      <w:r w:rsidRPr="00197C17">
        <w:rPr>
          <w:rFonts w:asciiTheme="majorBidi" w:hAnsiTheme="majorBidi" w:cstheme="majorBidi"/>
          <w:sz w:val="20"/>
          <w:szCs w:val="20"/>
        </w:rPr>
        <w:t xml:space="preserve">The 16-digit ORCID of the author(s); Maryam </w:t>
      </w:r>
      <w:proofErr w:type="spellStart"/>
      <w:r w:rsidRPr="00197C17">
        <w:rPr>
          <w:rFonts w:asciiTheme="majorBidi" w:hAnsiTheme="majorBidi" w:cstheme="majorBidi"/>
          <w:sz w:val="20"/>
          <w:szCs w:val="20"/>
        </w:rPr>
        <w:t>Naseroleslami</w:t>
      </w:r>
      <w:proofErr w:type="spellEnd"/>
      <w:r w:rsidRPr="00197C17">
        <w:rPr>
          <w:rFonts w:asciiTheme="majorBidi" w:hAnsiTheme="majorBidi" w:cstheme="majorBidi"/>
          <w:sz w:val="20"/>
          <w:szCs w:val="20"/>
        </w:rPr>
        <w:t xml:space="preserve"> (https://orcid.org/0000-0001-9163-7346) and </w:t>
      </w:r>
      <w:proofErr w:type="spellStart"/>
      <w:r w:rsidRPr="00197C17">
        <w:rPr>
          <w:rFonts w:asciiTheme="majorBidi" w:hAnsiTheme="majorBidi" w:cstheme="majorBidi"/>
          <w:sz w:val="20"/>
          <w:szCs w:val="20"/>
        </w:rPr>
        <w:t>Mahdieh</w:t>
      </w:r>
      <w:proofErr w:type="spellEnd"/>
      <w:r w:rsidRPr="00197C17">
        <w:rPr>
          <w:rFonts w:asciiTheme="majorBidi" w:hAnsiTheme="majorBidi" w:cstheme="majorBidi"/>
          <w:sz w:val="20"/>
          <w:szCs w:val="20"/>
        </w:rPr>
        <w:t xml:space="preserve"> </w:t>
      </w:r>
      <w:proofErr w:type="spellStart"/>
      <w:r w:rsidRPr="00197C17">
        <w:rPr>
          <w:rFonts w:asciiTheme="majorBidi" w:hAnsiTheme="majorBidi" w:cstheme="majorBidi"/>
          <w:sz w:val="20"/>
          <w:szCs w:val="20"/>
        </w:rPr>
        <w:t>Mehrab</w:t>
      </w:r>
      <w:proofErr w:type="spellEnd"/>
      <w:r w:rsidRPr="00197C17">
        <w:rPr>
          <w:rFonts w:asciiTheme="majorBidi" w:hAnsiTheme="majorBidi" w:cstheme="majorBidi"/>
          <w:sz w:val="20"/>
          <w:szCs w:val="20"/>
        </w:rPr>
        <w:t xml:space="preserve"> </w:t>
      </w:r>
      <w:proofErr w:type="spellStart"/>
      <w:r w:rsidRPr="00197C17">
        <w:rPr>
          <w:rFonts w:asciiTheme="majorBidi" w:hAnsiTheme="majorBidi" w:cstheme="majorBidi"/>
          <w:sz w:val="20"/>
          <w:szCs w:val="20"/>
        </w:rPr>
        <w:t>Mohseni</w:t>
      </w:r>
      <w:proofErr w:type="spellEnd"/>
      <w:r w:rsidRPr="00197C17">
        <w:rPr>
          <w:rFonts w:asciiTheme="majorBidi" w:hAnsiTheme="majorBidi" w:cstheme="majorBidi"/>
          <w:sz w:val="20"/>
          <w:szCs w:val="20"/>
        </w:rPr>
        <w:t xml:space="preserve"> (https://orcid.org/0000-0002-3456-5603).</w:t>
      </w:r>
    </w:p>
    <w:p w:rsidR="009D1FE5" w:rsidRPr="00197C17" w:rsidRDefault="009D1FE5" w:rsidP="009D1FE5">
      <w:pPr>
        <w:tabs>
          <w:tab w:val="left" w:pos="270"/>
        </w:tabs>
        <w:spacing w:after="0" w:line="480" w:lineRule="auto"/>
        <w:ind w:left="270" w:right="180"/>
        <w:jc w:val="both"/>
        <w:rPr>
          <w:rFonts w:asciiTheme="majorBidi" w:hAnsiTheme="majorBidi" w:cstheme="majorBidi"/>
          <w:sz w:val="20"/>
          <w:szCs w:val="20"/>
        </w:rPr>
      </w:pPr>
    </w:p>
    <w:p w:rsidR="009D1FE5" w:rsidRPr="00197C17" w:rsidRDefault="009D1FE5" w:rsidP="009D1FE5">
      <w:pPr>
        <w:tabs>
          <w:tab w:val="left" w:pos="270"/>
        </w:tabs>
        <w:spacing w:line="480" w:lineRule="auto"/>
        <w:ind w:left="270" w:right="180"/>
        <w:jc w:val="center"/>
        <w:rPr>
          <w:rFonts w:asciiTheme="majorBidi" w:hAnsiTheme="majorBidi" w:cstheme="majorBidi"/>
          <w:sz w:val="20"/>
          <w:szCs w:val="20"/>
        </w:rPr>
      </w:pPr>
      <w:r w:rsidRPr="00197C17">
        <w:rPr>
          <w:rFonts w:asciiTheme="majorBidi" w:hAnsiTheme="majorBidi" w:cstheme="majorBidi"/>
          <w:sz w:val="20"/>
          <w:szCs w:val="20"/>
        </w:rPr>
        <w:t>Abstract</w:t>
      </w:r>
    </w:p>
    <w:p w:rsidR="00CC1AF1" w:rsidRPr="00197C17" w:rsidRDefault="008B6383" w:rsidP="0048394F">
      <w:pPr>
        <w:tabs>
          <w:tab w:val="left" w:pos="270"/>
        </w:tabs>
        <w:spacing w:line="480" w:lineRule="auto"/>
        <w:ind w:left="270" w:right="180"/>
        <w:jc w:val="both"/>
        <w:rPr>
          <w:rFonts w:asciiTheme="majorBidi" w:hAnsiTheme="majorBidi" w:cstheme="majorBidi"/>
          <w:sz w:val="20"/>
          <w:szCs w:val="20"/>
        </w:rPr>
      </w:pPr>
      <w:r w:rsidRPr="008B6383">
        <w:rPr>
          <w:rFonts w:asciiTheme="majorBidi" w:eastAsia="Times New Roman" w:hAnsiTheme="majorBidi" w:cstheme="majorBidi"/>
          <w:color w:val="222222"/>
          <w:sz w:val="20"/>
          <w:szCs w:val="20"/>
        </w:rPr>
        <w:t xml:space="preserve">Essential </w:t>
      </w:r>
      <w:proofErr w:type="spellStart"/>
      <w:r w:rsidRPr="008B6383">
        <w:rPr>
          <w:rFonts w:asciiTheme="majorBidi" w:eastAsia="Times New Roman" w:hAnsiTheme="majorBidi" w:cstheme="majorBidi"/>
          <w:color w:val="222222"/>
          <w:sz w:val="20"/>
          <w:szCs w:val="20"/>
        </w:rPr>
        <w:t>thrombocythemia</w:t>
      </w:r>
      <w:proofErr w:type="spellEnd"/>
      <w:r w:rsidRPr="008B6383">
        <w:rPr>
          <w:rFonts w:asciiTheme="majorBidi" w:eastAsia="Times New Roman" w:hAnsiTheme="majorBidi" w:cstheme="majorBidi"/>
          <w:color w:val="222222"/>
          <w:sz w:val="20"/>
          <w:szCs w:val="20"/>
        </w:rPr>
        <w:t xml:space="preserve"> (ET), polycythemia </w:t>
      </w:r>
      <w:proofErr w:type="spellStart"/>
      <w:proofErr w:type="gramStart"/>
      <w:r w:rsidRPr="008B6383">
        <w:rPr>
          <w:rFonts w:asciiTheme="majorBidi" w:eastAsia="Times New Roman" w:hAnsiTheme="majorBidi" w:cstheme="majorBidi"/>
          <w:color w:val="222222"/>
          <w:sz w:val="20"/>
          <w:szCs w:val="20"/>
        </w:rPr>
        <w:t>vera</w:t>
      </w:r>
      <w:proofErr w:type="spellEnd"/>
      <w:proofErr w:type="gramEnd"/>
      <w:r w:rsidRPr="008B6383">
        <w:rPr>
          <w:rFonts w:asciiTheme="majorBidi" w:eastAsia="Times New Roman" w:hAnsiTheme="majorBidi" w:cstheme="majorBidi"/>
          <w:color w:val="222222"/>
          <w:sz w:val="20"/>
          <w:szCs w:val="20"/>
        </w:rPr>
        <w:t xml:space="preserve"> (PV), and primary </w:t>
      </w:r>
      <w:proofErr w:type="spellStart"/>
      <w:r w:rsidRPr="008B6383">
        <w:rPr>
          <w:rFonts w:asciiTheme="majorBidi" w:eastAsia="Times New Roman" w:hAnsiTheme="majorBidi" w:cstheme="majorBidi"/>
          <w:color w:val="222222"/>
          <w:sz w:val="20"/>
          <w:szCs w:val="20"/>
        </w:rPr>
        <w:t>myelofibrosis</w:t>
      </w:r>
      <w:proofErr w:type="spellEnd"/>
      <w:r w:rsidRPr="008B6383">
        <w:rPr>
          <w:rFonts w:asciiTheme="majorBidi" w:eastAsia="Times New Roman" w:hAnsiTheme="majorBidi" w:cstheme="majorBidi"/>
          <w:color w:val="222222"/>
          <w:sz w:val="20"/>
          <w:szCs w:val="20"/>
        </w:rPr>
        <w:t xml:space="preserve"> (PMF) are the three subtypes of </w:t>
      </w:r>
      <w:proofErr w:type="spellStart"/>
      <w:r w:rsidRPr="008B6383">
        <w:rPr>
          <w:rFonts w:asciiTheme="majorBidi" w:eastAsia="Times New Roman" w:hAnsiTheme="majorBidi" w:cstheme="majorBidi"/>
          <w:color w:val="222222"/>
          <w:sz w:val="20"/>
          <w:szCs w:val="20"/>
        </w:rPr>
        <w:t>myeloproliferative</w:t>
      </w:r>
      <w:proofErr w:type="spellEnd"/>
      <w:r w:rsidRPr="008B6383">
        <w:rPr>
          <w:rFonts w:asciiTheme="majorBidi" w:eastAsia="Times New Roman" w:hAnsiTheme="majorBidi" w:cstheme="majorBidi"/>
          <w:color w:val="222222"/>
          <w:sz w:val="20"/>
          <w:szCs w:val="20"/>
        </w:rPr>
        <w:t xml:space="preserve"> neoplasm (MPN), which is typically detected through mutation analysis in several key genes, including JAK2, MPL, and CALR. Using allele-specific PCR and sequencing, the mutations in the aforementioned genes in 50 MPN patients and 50 healthy volunteers were identified. According to the findings, there is a strong relationship between MPN and its subtypes and mutations (p 0.05). With the exception of ET, JAK2 (exon 14) mutation was associated with MPN and all of its subtypes. CALR (exon 9) type 1 mutation was only associated with ET, whereas CALR (exon 9) type 2 mutation was more common in MPN and PV (p 0.05). None of the mutations happened at the same time. There was no proof of a JAK2 (exon 12) mutation.</w:t>
      </w:r>
      <w:r w:rsidR="009D1FE5" w:rsidRPr="00197C17">
        <w:rPr>
          <w:rFonts w:asciiTheme="majorBidi" w:eastAsia="Times New Roman" w:hAnsiTheme="majorBidi" w:cstheme="majorBidi"/>
          <w:color w:val="222222"/>
          <w:sz w:val="20"/>
          <w:szCs w:val="20"/>
        </w:rPr>
        <w:t> </w:t>
      </w:r>
      <w:r w:rsidR="0048394F" w:rsidRPr="0048394F">
        <w:rPr>
          <w:rFonts w:asciiTheme="majorBidi" w:hAnsiTheme="majorBidi" w:cstheme="majorBidi"/>
          <w:sz w:val="20"/>
          <w:szCs w:val="20"/>
        </w:rPr>
        <w:t>Exons 12 and 10 of JAK2 and exons 9 and 2 of CALR may have mutations in Iranians with MPN, but exons 14 and 14 of JAK2 and MPL did not show any signs of a mutation throughout our analysis, disqualifying them as candidates for a diagnosis.</w:t>
      </w:r>
    </w:p>
    <w:p w:rsidR="007F2E1F" w:rsidRDefault="009D1FE5" w:rsidP="0048394F">
      <w:pPr>
        <w:shd w:val="clear" w:color="auto" w:fill="FFFFFF"/>
        <w:spacing w:line="480" w:lineRule="auto"/>
        <w:ind w:left="270" w:right="180"/>
        <w:jc w:val="both"/>
        <w:rPr>
          <w:rFonts w:hint="cs"/>
          <w:rtl/>
          <w:lang w:bidi="fa-IR"/>
        </w:rPr>
      </w:pPr>
      <w:r w:rsidRPr="00197C17">
        <w:rPr>
          <w:rFonts w:asciiTheme="majorBidi" w:eastAsia="Times New Roman" w:hAnsiTheme="majorBidi" w:cstheme="majorBidi"/>
          <w:color w:val="222222"/>
          <w:sz w:val="20"/>
          <w:szCs w:val="20"/>
        </w:rPr>
        <w:t xml:space="preserve">Keywords: </w:t>
      </w:r>
      <w:r w:rsidRPr="00197C17">
        <w:rPr>
          <w:rFonts w:asciiTheme="majorBidi" w:eastAsia="Times New Roman" w:hAnsiTheme="majorBidi" w:cstheme="majorBidi"/>
          <w:i/>
          <w:iCs/>
          <w:color w:val="222222"/>
          <w:sz w:val="20"/>
          <w:szCs w:val="20"/>
        </w:rPr>
        <w:t>JAK2</w:t>
      </w:r>
      <w:r w:rsidRPr="00197C17">
        <w:rPr>
          <w:rFonts w:asciiTheme="majorBidi" w:eastAsia="Times New Roman" w:hAnsiTheme="majorBidi" w:cstheme="majorBidi"/>
          <w:color w:val="222222"/>
          <w:sz w:val="20"/>
          <w:szCs w:val="20"/>
        </w:rPr>
        <w:t>, </w:t>
      </w:r>
      <w:r w:rsidRPr="00197C17">
        <w:rPr>
          <w:rFonts w:asciiTheme="majorBidi" w:eastAsia="Times New Roman" w:hAnsiTheme="majorBidi" w:cstheme="majorBidi"/>
          <w:i/>
          <w:iCs/>
          <w:color w:val="222222"/>
          <w:sz w:val="20"/>
          <w:szCs w:val="20"/>
        </w:rPr>
        <w:t>MPL</w:t>
      </w:r>
      <w:r w:rsidRPr="00197C17">
        <w:rPr>
          <w:rFonts w:asciiTheme="majorBidi" w:eastAsia="Times New Roman" w:hAnsiTheme="majorBidi" w:cstheme="majorBidi"/>
          <w:color w:val="222222"/>
          <w:sz w:val="20"/>
          <w:szCs w:val="20"/>
        </w:rPr>
        <w:t>, </w:t>
      </w:r>
      <w:r w:rsidRPr="00197C17">
        <w:rPr>
          <w:rFonts w:asciiTheme="majorBidi" w:eastAsia="Times New Roman" w:hAnsiTheme="majorBidi" w:cstheme="majorBidi"/>
          <w:i/>
          <w:iCs/>
          <w:color w:val="222222"/>
          <w:sz w:val="20"/>
          <w:szCs w:val="20"/>
        </w:rPr>
        <w:t>CALR</w:t>
      </w:r>
      <w:r w:rsidRPr="00197C17">
        <w:rPr>
          <w:rFonts w:asciiTheme="majorBidi" w:eastAsia="Times New Roman" w:hAnsiTheme="majorBidi" w:cstheme="majorBidi"/>
          <w:color w:val="222222"/>
          <w:sz w:val="20"/>
          <w:szCs w:val="20"/>
        </w:rPr>
        <w:t xml:space="preserve">, genes, exon, mutation, MPD, </w:t>
      </w:r>
      <w:proofErr w:type="spellStart"/>
      <w:r w:rsidRPr="00197C17">
        <w:rPr>
          <w:rFonts w:asciiTheme="majorBidi" w:eastAsia="Times New Roman" w:hAnsiTheme="majorBidi" w:cstheme="majorBidi"/>
          <w:color w:val="222222"/>
          <w:sz w:val="20"/>
          <w:szCs w:val="20"/>
        </w:rPr>
        <w:t>myeloproliferative</w:t>
      </w:r>
      <w:proofErr w:type="spellEnd"/>
      <w:r w:rsidRPr="00197C17">
        <w:rPr>
          <w:rFonts w:asciiTheme="majorBidi" w:eastAsia="Times New Roman" w:hAnsiTheme="majorBidi" w:cstheme="majorBidi"/>
          <w:color w:val="222222"/>
          <w:sz w:val="20"/>
          <w:szCs w:val="20"/>
        </w:rPr>
        <w:t xml:space="preserve"> neoplasm</w:t>
      </w:r>
      <w:bookmarkStart w:id="0" w:name="_GoBack"/>
      <w:bookmarkEnd w:id="0"/>
    </w:p>
    <w:sectPr w:rsidR="007F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E5"/>
    <w:rsid w:val="00074A2A"/>
    <w:rsid w:val="0048394F"/>
    <w:rsid w:val="007F2E1F"/>
    <w:rsid w:val="008B6383"/>
    <w:rsid w:val="009D1FE5"/>
    <w:rsid w:val="00B15873"/>
    <w:rsid w:val="00CC1AF1"/>
    <w:rsid w:val="00E93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8152F-24FF-4356-A970-C519698E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seroleslami@gmail.com" TargetMode="External"/><Relationship Id="rId4" Type="http://schemas.openxmlformats.org/officeDocument/2006/relationships/hyperlink" Target="mailto:measammorsa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2023-10-01T12:55:00Z</dcterms:created>
  <dcterms:modified xsi:type="dcterms:W3CDTF">2023-10-01T13:06:00Z</dcterms:modified>
</cp:coreProperties>
</file>