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B6" w:rsidRPr="002816C7" w:rsidRDefault="008506B6" w:rsidP="008506B6">
      <w:pPr>
        <w:spacing w:line="360" w:lineRule="auto"/>
        <w:jc w:val="both"/>
        <w:rPr>
          <w:rStyle w:val="fontstyle01"/>
          <w:rFonts w:ascii="Times New Roman" w:hAnsi="Times New Roman"/>
        </w:rPr>
      </w:pPr>
      <w:r w:rsidRPr="002816C7">
        <w:rPr>
          <w:rFonts w:ascii="Times New Roman" w:hAnsi="Times New Roman"/>
          <w:sz w:val="20"/>
          <w:szCs w:val="20"/>
        </w:rPr>
        <w:t xml:space="preserve">Cervical cancer is a significant public health concern in Ethiopia. </w:t>
      </w:r>
      <w:r w:rsidRPr="002816C7">
        <w:rPr>
          <w:rStyle w:val="Strong"/>
          <w:rFonts w:ascii="Times New Roman" w:hAnsi="Times New Roman"/>
          <w:b w:val="0"/>
          <w:sz w:val="20"/>
          <w:szCs w:val="20"/>
        </w:rPr>
        <w:t>It is mainly caused by persistent infection with the human papillomaviruses. The aim of this study was to</w:t>
      </w:r>
      <w:r w:rsidRPr="002816C7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assess the relationship between carcinogenic risk of probable, possible and low risk HPV infection and those of cervical intraepithelial </w:t>
      </w:r>
      <w:proofErr w:type="spellStart"/>
      <w:r w:rsidRPr="002816C7">
        <w:rPr>
          <w:rFonts w:ascii="Times New Roman" w:hAnsi="Times New Roman"/>
          <w:color w:val="000000"/>
          <w:sz w:val="20"/>
          <w:szCs w:val="20"/>
        </w:rPr>
        <w:t>neoplasia</w:t>
      </w:r>
      <w:proofErr w:type="spellEnd"/>
      <w:r w:rsidRPr="002816C7">
        <w:rPr>
          <w:rFonts w:ascii="Times New Roman" w:hAnsi="Times New Roman"/>
          <w:color w:val="000000"/>
          <w:sz w:val="20"/>
          <w:szCs w:val="20"/>
        </w:rPr>
        <w:t xml:space="preserve"> (CIN) and cervical cancer. </w:t>
      </w:r>
      <w:bookmarkStart w:id="0" w:name="sec002"/>
      <w:bookmarkEnd w:id="0"/>
      <w:r w:rsidRPr="002816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16C7">
        <w:rPr>
          <w:rFonts w:ascii="Times New Roman" w:hAnsi="Times New Roman"/>
          <w:sz w:val="20"/>
          <w:szCs w:val="20"/>
        </w:rPr>
        <w:t>A cross sectional study nested from prospective cohort study was conducted in Bahir Dar, northwest Ethiopia.</w:t>
      </w:r>
      <w:r w:rsidRPr="002816C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816C7">
        <w:rPr>
          <w:rFonts w:ascii="Times New Roman" w:hAnsi="Times New Roman"/>
          <w:sz w:val="20"/>
          <w:szCs w:val="20"/>
        </w:rPr>
        <w:t xml:space="preserve">Statistical analyses were performed using </w:t>
      </w:r>
      <w:smartTag w:uri="urn:schemas-microsoft-com:office:smarttags" w:element="stockticker">
        <w:r w:rsidRPr="002816C7">
          <w:rPr>
            <w:rFonts w:ascii="Times New Roman" w:hAnsi="Times New Roman"/>
            <w:sz w:val="20"/>
            <w:szCs w:val="20"/>
          </w:rPr>
          <w:t>SPSS</w:t>
        </w:r>
      </w:smartTag>
      <w:r w:rsidRPr="002816C7">
        <w:rPr>
          <w:rFonts w:ascii="Times New Roman" w:hAnsi="Times New Roman"/>
          <w:sz w:val="20"/>
          <w:szCs w:val="20"/>
        </w:rPr>
        <w:t xml:space="preserve"> version 26.0. 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HPV-16 was associated with a relatively higher risk of </w:t>
      </w:r>
      <w:r w:rsidRPr="002816C7">
        <w:rPr>
          <w:rFonts w:ascii="Times New Roman" w:hAnsi="Times New Roman"/>
          <w:bCs/>
          <w:color w:val="000000"/>
          <w:sz w:val="20"/>
          <w:szCs w:val="20"/>
        </w:rPr>
        <w:t>CIN II</w:t>
      </w:r>
      <w:r w:rsidRPr="002816C7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+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, (AOR = </w:t>
      </w:r>
      <w:r w:rsidRPr="002816C7">
        <w:rPr>
          <w:rFonts w:ascii="Times New Roman" w:hAnsi="Times New Roman"/>
          <w:color w:val="010205"/>
          <w:sz w:val="20"/>
          <w:szCs w:val="20"/>
        </w:rPr>
        <w:t>15.42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; 95% CI: </w:t>
      </w:r>
      <w:r w:rsidRPr="002816C7">
        <w:rPr>
          <w:rFonts w:ascii="Times New Roman" w:hAnsi="Times New Roman"/>
          <w:color w:val="010205"/>
          <w:sz w:val="20"/>
          <w:szCs w:val="20"/>
        </w:rPr>
        <w:t>6.81 – 34.91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). In addition, HPV-52, -18, -53 and -58, were significantly associated with an increased risk of </w:t>
      </w:r>
      <w:r w:rsidRPr="002816C7">
        <w:rPr>
          <w:rFonts w:ascii="Times New Roman" w:hAnsi="Times New Roman"/>
          <w:bCs/>
          <w:color w:val="000000"/>
          <w:sz w:val="20"/>
          <w:szCs w:val="20"/>
        </w:rPr>
        <w:t>CIN II</w:t>
      </w:r>
      <w:r w:rsidRPr="002816C7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+</w:t>
      </w:r>
      <w:r w:rsidRPr="002816C7">
        <w:rPr>
          <w:rFonts w:ascii="Times New Roman" w:hAnsi="Times New Roman"/>
          <w:color w:val="000000"/>
          <w:sz w:val="20"/>
          <w:szCs w:val="20"/>
        </w:rPr>
        <w:t>, (AOR = 7.38(1.73 – 31.54), 5.42(1.61 -18.31), 4.08(1.53 – 10.87), and 3.17(1.00 – 10.03)), respectively.</w:t>
      </w:r>
      <w:bookmarkStart w:id="1" w:name="sec004"/>
      <w:bookmarkStart w:id="2" w:name="article1.front1.article-meta1.abstract1."/>
      <w:bookmarkEnd w:id="1"/>
      <w:bookmarkEnd w:id="2"/>
      <w:r w:rsidRPr="002816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16C7">
        <w:rPr>
          <w:rFonts w:ascii="Times New Roman" w:hAnsi="Times New Roman"/>
          <w:sz w:val="20"/>
          <w:szCs w:val="20"/>
        </w:rPr>
        <w:t xml:space="preserve">The current study shows high rate of HPV with predominance of HPV-16, -53, -58, -18, -35, and -52. 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The </w:t>
      </w:r>
      <w:proofErr w:type="spellStart"/>
      <w:r w:rsidRPr="002816C7">
        <w:rPr>
          <w:rFonts w:ascii="Times New Roman" w:hAnsi="Times New Roman"/>
          <w:color w:val="000000"/>
          <w:sz w:val="20"/>
          <w:szCs w:val="20"/>
        </w:rPr>
        <w:t>quadrivalent</w:t>
      </w:r>
      <w:proofErr w:type="spellEnd"/>
      <w:r w:rsidRPr="002816C7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2816C7">
        <w:rPr>
          <w:rFonts w:ascii="Times New Roman" w:hAnsi="Times New Roman"/>
          <w:color w:val="000000"/>
          <w:sz w:val="20"/>
          <w:szCs w:val="20"/>
        </w:rPr>
        <w:t>nonavalent</w:t>
      </w:r>
      <w:proofErr w:type="spellEnd"/>
      <w:r w:rsidRPr="002816C7">
        <w:rPr>
          <w:rFonts w:ascii="Times New Roman" w:hAnsi="Times New Roman"/>
          <w:color w:val="000000"/>
          <w:sz w:val="20"/>
          <w:szCs w:val="20"/>
        </w:rPr>
        <w:t xml:space="preserve"> vaccine had only covered 27.1% and 45% of the circulating HPV genotypes.  Ethiopia may need to consider introduction of </w:t>
      </w:r>
      <w:proofErr w:type="spellStart"/>
      <w:r w:rsidRPr="002816C7">
        <w:rPr>
          <w:rFonts w:ascii="Times New Roman" w:hAnsi="Times New Roman"/>
          <w:color w:val="000000"/>
          <w:sz w:val="20"/>
          <w:szCs w:val="20"/>
        </w:rPr>
        <w:t>nonavalent</w:t>
      </w:r>
      <w:proofErr w:type="spellEnd"/>
      <w:r w:rsidRPr="002816C7">
        <w:rPr>
          <w:rFonts w:ascii="Times New Roman" w:hAnsi="Times New Roman"/>
          <w:color w:val="000000"/>
          <w:sz w:val="20"/>
          <w:szCs w:val="20"/>
        </w:rPr>
        <w:t xml:space="preserve"> vaccine into the </w:t>
      </w:r>
      <w:r>
        <w:rPr>
          <w:rFonts w:ascii="Times New Roman" w:hAnsi="Times New Roman"/>
          <w:color w:val="000000"/>
          <w:sz w:val="20"/>
          <w:szCs w:val="20"/>
        </w:rPr>
        <w:t xml:space="preserve">national public health strategy. </w:t>
      </w:r>
      <w:r w:rsidRPr="002816C7">
        <w:rPr>
          <w:rFonts w:ascii="Times New Roman" w:hAnsi="Times New Roman"/>
          <w:color w:val="000000"/>
          <w:sz w:val="20"/>
          <w:szCs w:val="20"/>
        </w:rPr>
        <w:t xml:space="preserve">Polyvalent vaccine which includes the genotypes not covered by existing approved vaccines should be considered. </w:t>
      </w:r>
    </w:p>
    <w:p w:rsidR="006B4445" w:rsidRDefault="006B4445">
      <w:bookmarkStart w:id="3" w:name="_GoBack"/>
      <w:bookmarkEnd w:id="3"/>
    </w:p>
    <w:sectPr w:rsidR="006B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B6"/>
    <w:rsid w:val="006B4445"/>
    <w:rsid w:val="008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8506B6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sid w:val="00850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8506B6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sid w:val="00850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2024-04-10T17:21:00Z</dcterms:created>
  <dcterms:modified xsi:type="dcterms:W3CDTF">2024-04-10T17:22:00Z</dcterms:modified>
</cp:coreProperties>
</file>