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1B0F" w14:textId="77777777" w:rsidR="007638CB" w:rsidRPr="00524B38" w:rsidRDefault="00524B38" w:rsidP="00F00122">
      <w:pPr>
        <w:widowControl w:val="0"/>
        <w:overflowPunct w:val="0"/>
        <w:autoSpaceDE w:val="0"/>
        <w:autoSpaceDN w:val="0"/>
        <w:adjustRightInd w:val="0"/>
        <w:spacing w:after="0" w:line="240" w:lineRule="auto"/>
        <w:jc w:val="center"/>
        <w:rPr>
          <w:rFonts w:cstheme="minorHAnsi"/>
          <w:b/>
          <w:bCs/>
          <w:sz w:val="28"/>
          <w:szCs w:val="28"/>
        </w:rPr>
      </w:pPr>
      <w:r w:rsidRPr="00524B38">
        <w:rPr>
          <w:rFonts w:cstheme="minorHAnsi"/>
          <w:b/>
          <w:color w:val="000000" w:themeColor="text1"/>
          <w:sz w:val="28"/>
          <w:szCs w:val="28"/>
          <w:shd w:val="clear" w:color="auto" w:fill="F7F7F8"/>
        </w:rPr>
        <w:t>Natural killer T cells play a significant role in preventing Coxsackievirus A10 infection through an adeno-based vaccine expressing enterovirus-like particles</w:t>
      </w:r>
    </w:p>
    <w:p w14:paraId="5660F8B2" w14:textId="77777777"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p>
    <w:p w14:paraId="6131B43B" w14:textId="77777777" w:rsidR="007638CB" w:rsidRPr="00524B38" w:rsidRDefault="00524B38" w:rsidP="00CC5B42">
      <w:pPr>
        <w:widowControl w:val="0"/>
        <w:overflowPunct w:val="0"/>
        <w:autoSpaceDE w:val="0"/>
        <w:autoSpaceDN w:val="0"/>
        <w:adjustRightInd w:val="0"/>
        <w:spacing w:after="0" w:line="240" w:lineRule="auto"/>
        <w:jc w:val="center"/>
        <w:rPr>
          <w:rFonts w:cstheme="minorHAnsi"/>
          <w:b/>
          <w:bCs/>
          <w:sz w:val="24"/>
          <w:szCs w:val="24"/>
        </w:rPr>
      </w:pPr>
      <w:r w:rsidRPr="00524B38">
        <w:rPr>
          <w:b/>
          <w:color w:val="000000"/>
          <w:sz w:val="24"/>
          <w:szCs w:val="24"/>
        </w:rPr>
        <w:t>Shu-Ling Yu</w:t>
      </w:r>
      <w:r w:rsidRPr="00524B38">
        <w:rPr>
          <w:b/>
          <w:color w:val="000000"/>
          <w:sz w:val="24"/>
          <w:szCs w:val="24"/>
          <w:vertAlign w:val="superscript"/>
        </w:rPr>
        <w:t>1</w:t>
      </w:r>
      <w:r w:rsidRPr="00524B38">
        <w:rPr>
          <w:b/>
          <w:color w:val="000000"/>
          <w:sz w:val="24"/>
          <w:szCs w:val="24"/>
        </w:rPr>
        <w:t>, Yen-Hung Chow</w:t>
      </w:r>
      <w:r w:rsidRPr="00524B38">
        <w:rPr>
          <w:b/>
          <w:color w:val="000000"/>
          <w:sz w:val="24"/>
          <w:szCs w:val="24"/>
          <w:vertAlign w:val="superscript"/>
        </w:rPr>
        <w:t xml:space="preserve">1.2 </w:t>
      </w:r>
    </w:p>
    <w:p w14:paraId="4ADC2708" w14:textId="77777777" w:rsidR="0059327E" w:rsidRPr="00524B3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524B38">
        <w:rPr>
          <w:rFonts w:cstheme="minorHAnsi"/>
          <w:sz w:val="24"/>
          <w:szCs w:val="24"/>
          <w:vertAlign w:val="superscript"/>
          <w:lang w:val="en-AU"/>
        </w:rPr>
        <w:t>1</w:t>
      </w:r>
      <w:r w:rsidR="00524B38" w:rsidRPr="00524B38">
        <w:rPr>
          <w:color w:val="000000"/>
          <w:sz w:val="24"/>
          <w:szCs w:val="24"/>
        </w:rPr>
        <w:t xml:space="preserve">Institute of Infectious Disease and Vaccinology, National Health Research Institutes, </w:t>
      </w:r>
      <w:proofErr w:type="spellStart"/>
      <w:r w:rsidR="00524B38" w:rsidRPr="00524B38">
        <w:rPr>
          <w:color w:val="000000"/>
          <w:sz w:val="24"/>
          <w:szCs w:val="24"/>
        </w:rPr>
        <w:t>Zhunan</w:t>
      </w:r>
      <w:proofErr w:type="spellEnd"/>
      <w:r w:rsidR="00524B38" w:rsidRPr="00524B38">
        <w:rPr>
          <w:color w:val="000000"/>
          <w:sz w:val="24"/>
          <w:szCs w:val="24"/>
        </w:rPr>
        <w:t xml:space="preserve"> Town, Miaoli County, Taiwan.</w:t>
      </w:r>
      <w:r w:rsidR="00524B38" w:rsidRPr="00524B38">
        <w:rPr>
          <w:color w:val="000000"/>
          <w:sz w:val="24"/>
          <w:szCs w:val="24"/>
          <w:vertAlign w:val="superscript"/>
        </w:rPr>
        <w:t xml:space="preserve"> </w:t>
      </w:r>
      <w:r w:rsidR="00524B38" w:rsidRPr="00524B38">
        <w:rPr>
          <w:color w:val="000000"/>
          <w:sz w:val="24"/>
          <w:szCs w:val="24"/>
        </w:rPr>
        <w:t>julian0709@nhri.edu.tw</w:t>
      </w:r>
    </w:p>
    <w:p w14:paraId="7AD23173" w14:textId="77777777" w:rsidR="0059327E" w:rsidRPr="00524B3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524B38">
        <w:rPr>
          <w:rFonts w:cstheme="minorHAnsi"/>
          <w:sz w:val="24"/>
          <w:szCs w:val="24"/>
          <w:vertAlign w:val="superscript"/>
          <w:lang w:val="en-AU"/>
        </w:rPr>
        <w:t>2</w:t>
      </w:r>
      <w:r w:rsidR="00524B38" w:rsidRPr="00524B38">
        <w:rPr>
          <w:color w:val="222222"/>
          <w:sz w:val="24"/>
          <w:szCs w:val="24"/>
          <w:shd w:val="clear" w:color="auto" w:fill="FFFFFF"/>
        </w:rPr>
        <w:t>Graduate Institute of Biomedical Sciences, China Medical University, Taichung, Taiwan</w:t>
      </w:r>
      <w:r w:rsidR="00BB6530" w:rsidRPr="00524B38">
        <w:rPr>
          <w:rFonts w:cstheme="minorHAnsi"/>
          <w:sz w:val="24"/>
          <w:szCs w:val="24"/>
          <w:lang w:val="en-AU"/>
        </w:rPr>
        <w:t xml:space="preserve">, </w:t>
      </w:r>
      <w:r w:rsidR="00524B38" w:rsidRPr="00524B38">
        <w:rPr>
          <w:rFonts w:cstheme="minorHAnsi"/>
          <w:sz w:val="24"/>
          <w:szCs w:val="24"/>
          <w:lang w:val="en-AU"/>
        </w:rPr>
        <w:t>choeyenh@nhri.edu.tw</w:t>
      </w:r>
    </w:p>
    <w:p w14:paraId="6CBFF6EB" w14:textId="77777777" w:rsidR="00CC5B42" w:rsidRPr="00AF3F08" w:rsidRDefault="00CC5B42" w:rsidP="00F00122">
      <w:pPr>
        <w:widowControl w:val="0"/>
        <w:overflowPunct w:val="0"/>
        <w:autoSpaceDE w:val="0"/>
        <w:autoSpaceDN w:val="0"/>
        <w:adjustRightInd w:val="0"/>
        <w:spacing w:after="0" w:line="240" w:lineRule="auto"/>
        <w:jc w:val="center"/>
        <w:rPr>
          <w:rFonts w:cstheme="minorHAnsi"/>
          <w:b/>
          <w:bCs/>
          <w:sz w:val="24"/>
          <w:szCs w:val="24"/>
        </w:rPr>
      </w:pPr>
    </w:p>
    <w:p w14:paraId="1B70962D" w14:textId="77777777" w:rsidR="00080CEF" w:rsidRPr="00AF3F08" w:rsidRDefault="00524B38" w:rsidP="00F00122">
      <w:pPr>
        <w:widowControl w:val="0"/>
        <w:overflowPunct w:val="0"/>
        <w:autoSpaceDE w:val="0"/>
        <w:autoSpaceDN w:val="0"/>
        <w:adjustRightInd w:val="0"/>
        <w:spacing w:after="0" w:line="240" w:lineRule="auto"/>
        <w:jc w:val="center"/>
        <w:rPr>
          <w:rFonts w:cstheme="minorHAnsi"/>
          <w:b/>
          <w:bCs/>
          <w:sz w:val="28"/>
          <w:szCs w:val="28"/>
        </w:rPr>
      </w:pPr>
      <w:r w:rsidRPr="00524B38">
        <w:rPr>
          <w:b/>
          <w:color w:val="000000"/>
          <w:sz w:val="28"/>
          <w:szCs w:val="28"/>
        </w:rPr>
        <w:t>Yen-Hung Chow</w:t>
      </w:r>
      <w:r w:rsidRPr="00AF3F08">
        <w:rPr>
          <w:rFonts w:cstheme="minorHAnsi"/>
          <w:b/>
          <w:bCs/>
          <w:sz w:val="28"/>
          <w:szCs w:val="28"/>
        </w:rPr>
        <w:t xml:space="preserve"> </w:t>
      </w:r>
    </w:p>
    <w:p w14:paraId="493DF91D" w14:textId="77777777" w:rsidR="00F00122" w:rsidRPr="00AF3F08" w:rsidRDefault="00F00122" w:rsidP="00CC5B42">
      <w:pPr>
        <w:widowControl w:val="0"/>
        <w:overflowPunct w:val="0"/>
        <w:autoSpaceDE w:val="0"/>
        <w:autoSpaceDN w:val="0"/>
        <w:adjustRightInd w:val="0"/>
        <w:spacing w:after="0" w:line="240" w:lineRule="auto"/>
        <w:jc w:val="both"/>
        <w:rPr>
          <w:rFonts w:cstheme="minorHAnsi"/>
          <w:b/>
          <w:bCs/>
          <w:sz w:val="24"/>
          <w:szCs w:val="24"/>
        </w:rPr>
      </w:pPr>
    </w:p>
    <w:p w14:paraId="698AB349" w14:textId="77777777" w:rsidR="00FF3FEF" w:rsidRPr="00AF3F08" w:rsidRDefault="00C022E2" w:rsidP="00CC5B42">
      <w:pPr>
        <w:widowControl w:val="0"/>
        <w:overflowPunct w:val="0"/>
        <w:autoSpaceDE w:val="0"/>
        <w:autoSpaceDN w:val="0"/>
        <w:adjustRightInd w:val="0"/>
        <w:spacing w:after="0" w:line="240" w:lineRule="auto"/>
        <w:jc w:val="both"/>
        <w:rPr>
          <w:rFonts w:cstheme="minorHAnsi"/>
          <w:sz w:val="24"/>
          <w:szCs w:val="24"/>
          <w:lang w:val="en-AU"/>
        </w:rPr>
      </w:pPr>
      <w:r w:rsidRPr="00AF3F08">
        <w:rPr>
          <w:rFonts w:cstheme="minorHAnsi"/>
          <w:b/>
          <w:bCs/>
          <w:sz w:val="24"/>
          <w:szCs w:val="24"/>
        </w:rPr>
        <w:t>Abstract</w:t>
      </w:r>
      <w:r w:rsidR="00BE10D2" w:rsidRPr="00AF3F08">
        <w:rPr>
          <w:rFonts w:cstheme="minorHAnsi"/>
          <w:b/>
          <w:bCs/>
          <w:sz w:val="24"/>
          <w:szCs w:val="24"/>
        </w:rPr>
        <w:t>:</w:t>
      </w:r>
      <w:r w:rsidR="00F57ED8" w:rsidRPr="00AF3F08">
        <w:rPr>
          <w:rFonts w:cstheme="minorHAnsi"/>
          <w:sz w:val="24"/>
          <w:szCs w:val="24"/>
          <w:lang w:val="en-AU"/>
        </w:rPr>
        <w:t xml:space="preserve"> </w:t>
      </w:r>
    </w:p>
    <w:p w14:paraId="090CEAFD" w14:textId="77777777" w:rsidR="007638CB" w:rsidRPr="00667559" w:rsidRDefault="005361F3" w:rsidP="00667559">
      <w:pPr>
        <w:spacing w:before="100" w:beforeAutospacing="1" w:after="100" w:afterAutospacing="1" w:line="360" w:lineRule="auto"/>
        <w:ind w:firstLine="720"/>
        <w:rPr>
          <w:rFonts w:cstheme="minorHAnsi"/>
          <w:color w:val="000000" w:themeColor="text1"/>
          <w:sz w:val="24"/>
          <w:szCs w:val="24"/>
        </w:rPr>
      </w:pPr>
      <w:r w:rsidRPr="00F705CB">
        <w:rPr>
          <w:rFonts w:cstheme="minorHAnsi"/>
          <w:color w:val="000000" w:themeColor="text1"/>
          <w:sz w:val="24"/>
          <w:szCs w:val="24"/>
          <w:shd w:val="clear" w:color="auto" w:fill="F7F7F8"/>
        </w:rPr>
        <w:t>Enterovirus A71 (EV-A71) and coxsackievirus A (CVA) were the primary causative agents of hand, foot, and mouth disease (HFMD)</w:t>
      </w:r>
      <w:r w:rsidRPr="00F705CB">
        <w:rPr>
          <w:rFonts w:cstheme="minorHAnsi"/>
          <w:color w:val="000000" w:themeColor="text1"/>
          <w:sz w:val="24"/>
          <w:szCs w:val="24"/>
        </w:rPr>
        <w:t xml:space="preserve">, </w:t>
      </w:r>
      <w:r w:rsidRPr="00F705CB">
        <w:rPr>
          <w:rFonts w:cstheme="minorHAnsi"/>
          <w:color w:val="000000" w:themeColor="text1"/>
          <w:sz w:val="24"/>
          <w:szCs w:val="24"/>
          <w:shd w:val="clear" w:color="auto" w:fill="F7F7F8"/>
        </w:rPr>
        <w:t>the heightened occurrence of HFMD outbreaks associated with CVA10 worldwide has questioned this perspective</w:t>
      </w:r>
      <w:r w:rsidRPr="00F705CB">
        <w:rPr>
          <w:rFonts w:cstheme="minorHAnsi"/>
          <w:color w:val="000000" w:themeColor="text1"/>
          <w:sz w:val="24"/>
          <w:szCs w:val="24"/>
        </w:rPr>
        <w:t xml:space="preserve">. </w:t>
      </w:r>
      <w:r w:rsidRPr="00F705CB">
        <w:rPr>
          <w:rFonts w:cstheme="minorHAnsi"/>
          <w:color w:val="000000" w:themeColor="text1"/>
          <w:sz w:val="24"/>
          <w:szCs w:val="24"/>
          <w:shd w:val="clear" w:color="auto" w:fill="F7F7F8"/>
        </w:rPr>
        <w:t>Due to the absence of an effective vaccine or antiviral treatment, HFMD caused by CVA10 has emerged as a significant global public health issue.</w:t>
      </w:r>
      <w:r w:rsidRPr="00F705CB">
        <w:rPr>
          <w:rFonts w:cstheme="minorHAnsi"/>
          <w:color w:val="000000" w:themeColor="text1"/>
          <w:sz w:val="24"/>
          <w:szCs w:val="24"/>
        </w:rPr>
        <w:t xml:space="preserve"> </w:t>
      </w:r>
      <w:r w:rsidR="00667559" w:rsidRPr="00F705CB">
        <w:rPr>
          <w:rFonts w:cstheme="minorHAnsi"/>
          <w:color w:val="000000" w:themeColor="text1"/>
          <w:sz w:val="24"/>
          <w:szCs w:val="24"/>
        </w:rPr>
        <w:t>We study a potent</w:t>
      </w:r>
      <w:r w:rsidRPr="00F705CB">
        <w:rPr>
          <w:rFonts w:cstheme="minorHAnsi"/>
          <w:color w:val="000000" w:themeColor="text1"/>
          <w:sz w:val="24"/>
          <w:szCs w:val="24"/>
        </w:rPr>
        <w:t>-v</w:t>
      </w:r>
      <w:r w:rsidR="00667559" w:rsidRPr="00F705CB">
        <w:rPr>
          <w:rFonts w:cstheme="minorHAnsi"/>
          <w:color w:val="000000" w:themeColor="text1"/>
          <w:sz w:val="24"/>
          <w:szCs w:val="24"/>
        </w:rPr>
        <w:t>alent vaccine based on adenovector expressing enterovirus A71 (EV-A71) viral like particle (</w:t>
      </w:r>
      <w:proofErr w:type="spellStart"/>
      <w:r w:rsidR="00667559" w:rsidRPr="00F705CB">
        <w:rPr>
          <w:rFonts w:cstheme="minorHAnsi"/>
          <w:color w:val="000000" w:themeColor="text1"/>
          <w:sz w:val="24"/>
          <w:szCs w:val="24"/>
        </w:rPr>
        <w:t>AdVLP</w:t>
      </w:r>
      <w:proofErr w:type="spellEnd"/>
      <w:r w:rsidR="00667559" w:rsidRPr="00F705CB">
        <w:rPr>
          <w:rFonts w:cstheme="minorHAnsi"/>
          <w:color w:val="000000" w:themeColor="text1"/>
          <w:sz w:val="24"/>
          <w:szCs w:val="24"/>
        </w:rPr>
        <w:t>) which elicits a multivalence against not only EV71 but also other coxsackievi</w:t>
      </w:r>
      <w:r w:rsidR="00667559" w:rsidRPr="00667559">
        <w:rPr>
          <w:rFonts w:cstheme="minorHAnsi"/>
          <w:color w:val="000000" w:themeColor="text1"/>
          <w:sz w:val="24"/>
          <w:szCs w:val="24"/>
        </w:rPr>
        <w:t xml:space="preserve">ruses such as A10. In young-aged </w:t>
      </w:r>
      <w:r w:rsidR="00667559" w:rsidRPr="00667559">
        <w:rPr>
          <w:rFonts w:cstheme="minorHAnsi"/>
          <w:color w:val="000000" w:themeColor="text1"/>
          <w:sz w:val="24"/>
          <w:szCs w:val="24"/>
          <w:shd w:val="clear" w:color="auto" w:fill="FFFFFF"/>
        </w:rPr>
        <w:t>human scavenger receptor class B, member 2 –transgenic ((hSCARB2-Tg)</w:t>
      </w:r>
      <w:r w:rsidR="00667559" w:rsidRPr="00667559">
        <w:rPr>
          <w:rFonts w:cstheme="minorHAnsi"/>
          <w:color w:val="000000" w:themeColor="text1"/>
          <w:sz w:val="24"/>
          <w:szCs w:val="24"/>
        </w:rPr>
        <w:t xml:space="preserve"> mice received two-dose of vaccine following challenge with CVA10, </w:t>
      </w:r>
      <w:proofErr w:type="spellStart"/>
      <w:r w:rsidR="00667559" w:rsidRPr="00667559">
        <w:rPr>
          <w:rFonts w:cstheme="minorHAnsi"/>
          <w:color w:val="000000" w:themeColor="text1"/>
          <w:sz w:val="24"/>
          <w:szCs w:val="24"/>
        </w:rPr>
        <w:t>AdVLP</w:t>
      </w:r>
      <w:proofErr w:type="spellEnd"/>
      <w:r w:rsidR="00667559" w:rsidRPr="00667559">
        <w:rPr>
          <w:rFonts w:cstheme="minorHAnsi"/>
          <w:color w:val="000000" w:themeColor="text1"/>
          <w:sz w:val="24"/>
          <w:szCs w:val="24"/>
        </w:rPr>
        <w:t xml:space="preserve"> immunization significantly reduced muscle, spinal cord, and brain’s viral amounts and protected animal from disease occurrence. In contrast, massive CVA10 accumulated in these tissues that resulted in severe diseases and death in the control vector-received mice.</w:t>
      </w:r>
      <w:r w:rsidR="00667559" w:rsidRPr="00667559">
        <w:rPr>
          <w:rFonts w:cstheme="minorHAnsi"/>
          <w:color w:val="000000" w:themeColor="text1"/>
          <w:sz w:val="24"/>
          <w:szCs w:val="24"/>
          <w:lang w:eastAsia="zh-TW"/>
        </w:rPr>
        <w:t xml:space="preserve"> </w:t>
      </w:r>
      <w:r w:rsidR="00667559" w:rsidRPr="00667559">
        <w:rPr>
          <w:rFonts w:eastAsia="新細明體" w:cstheme="minorHAnsi"/>
          <w:color w:val="000000" w:themeColor="text1"/>
          <w:sz w:val="24"/>
          <w:szCs w:val="24"/>
          <w:lang w:eastAsia="zh-TW"/>
        </w:rPr>
        <w:t xml:space="preserve">Passive immunization of </w:t>
      </w:r>
      <w:proofErr w:type="spellStart"/>
      <w:r w:rsidR="00667559" w:rsidRPr="00667559">
        <w:rPr>
          <w:rFonts w:eastAsia="新細明體" w:cstheme="minorHAnsi"/>
          <w:color w:val="000000" w:themeColor="text1"/>
          <w:sz w:val="24"/>
          <w:szCs w:val="24"/>
          <w:lang w:eastAsia="zh-TW"/>
        </w:rPr>
        <w:t>Tg</w:t>
      </w:r>
      <w:proofErr w:type="spellEnd"/>
      <w:r w:rsidR="00667559" w:rsidRPr="00667559">
        <w:rPr>
          <w:rFonts w:eastAsia="新細明體" w:cstheme="minorHAnsi"/>
          <w:color w:val="000000" w:themeColor="text1"/>
          <w:sz w:val="24"/>
          <w:szCs w:val="24"/>
          <w:lang w:eastAsia="zh-TW"/>
        </w:rPr>
        <w:t xml:space="preserve"> mice with </w:t>
      </w:r>
      <w:proofErr w:type="spellStart"/>
      <w:r w:rsidR="00667559" w:rsidRPr="00667559">
        <w:rPr>
          <w:rFonts w:eastAsia="新細明體" w:cstheme="minorHAnsi"/>
          <w:color w:val="000000" w:themeColor="text1"/>
          <w:sz w:val="24"/>
          <w:szCs w:val="24"/>
          <w:lang w:eastAsia="zh-TW"/>
        </w:rPr>
        <w:t>AdVLP</w:t>
      </w:r>
      <w:proofErr w:type="spellEnd"/>
      <w:r w:rsidR="00667559" w:rsidRPr="00667559">
        <w:rPr>
          <w:rFonts w:eastAsia="新細明體" w:cstheme="minorHAnsi"/>
          <w:color w:val="000000" w:themeColor="text1"/>
          <w:sz w:val="24"/>
          <w:szCs w:val="24"/>
          <w:lang w:eastAsia="zh-TW"/>
        </w:rPr>
        <w:t xml:space="preserve">-immunized serum after challenge with CVA10 confirmed that the antibodies present in the serum, while lacking neutralizing capabilities, demonstrated viral-binding activity and complement-dependent responses. These components were found to effectively protect against CVA10 infection in </w:t>
      </w:r>
      <w:proofErr w:type="spellStart"/>
      <w:r w:rsidR="00667559" w:rsidRPr="00667559">
        <w:rPr>
          <w:rFonts w:eastAsia="新細明體" w:cstheme="minorHAnsi"/>
          <w:color w:val="000000" w:themeColor="text1"/>
          <w:sz w:val="24"/>
          <w:szCs w:val="24"/>
          <w:lang w:eastAsia="zh-TW"/>
        </w:rPr>
        <w:t>AdVLP</w:t>
      </w:r>
      <w:proofErr w:type="spellEnd"/>
      <w:r w:rsidR="00667559" w:rsidRPr="00667559">
        <w:rPr>
          <w:rFonts w:eastAsia="新細明體" w:cstheme="minorHAnsi"/>
          <w:color w:val="000000" w:themeColor="text1"/>
          <w:sz w:val="24"/>
          <w:szCs w:val="24"/>
          <w:lang w:eastAsia="zh-TW"/>
        </w:rPr>
        <w:t xml:space="preserve">-immunized serum. </w:t>
      </w:r>
      <w:r w:rsidR="00F705CB" w:rsidRPr="00F705CB">
        <w:rPr>
          <w:rFonts w:eastAsia="新細明體" w:cstheme="minorHAnsi"/>
          <w:color w:val="000000" w:themeColor="text1"/>
          <w:sz w:val="24"/>
          <w:szCs w:val="24"/>
          <w:lang w:eastAsia="zh-TW"/>
        </w:rPr>
        <w:t>We also</w:t>
      </w:r>
      <w:r w:rsidR="00667559" w:rsidRPr="00667559">
        <w:rPr>
          <w:rFonts w:eastAsia="新細明體" w:cstheme="minorHAnsi"/>
          <w:color w:val="000000" w:themeColor="text1"/>
          <w:sz w:val="24"/>
          <w:szCs w:val="24"/>
          <w:lang w:eastAsia="zh-TW"/>
        </w:rPr>
        <w:t xml:space="preserve"> assess the efficacy of the formalin-inactivated CVA10 (FI-CVA10) vaccine against CVA10 infection, </w:t>
      </w:r>
      <w:r>
        <w:rPr>
          <w:rFonts w:eastAsia="新細明體" w:cstheme="minorHAnsi"/>
          <w:color w:val="000000" w:themeColor="text1"/>
          <w:sz w:val="24"/>
          <w:szCs w:val="24"/>
          <w:lang w:eastAsia="zh-TW"/>
        </w:rPr>
        <w:t>t</w:t>
      </w:r>
      <w:r w:rsidR="00667559" w:rsidRPr="00667559">
        <w:rPr>
          <w:rFonts w:eastAsia="新細明體" w:cstheme="minorHAnsi"/>
          <w:color w:val="000000" w:themeColor="text1"/>
          <w:sz w:val="24"/>
          <w:szCs w:val="24"/>
          <w:lang w:eastAsia="zh-TW"/>
        </w:rPr>
        <w:t xml:space="preserve">he FI-CVA10-immunized serum was shown to raise neutralizing antibodies and was subsequently tested in a passive immunization study to demonstrate its potency in preventing CVA10 infection. Notably, the results of passive immunization with </w:t>
      </w:r>
      <w:proofErr w:type="spellStart"/>
      <w:r w:rsidR="00667559" w:rsidRPr="00667559">
        <w:rPr>
          <w:rFonts w:eastAsia="新細明體" w:cstheme="minorHAnsi"/>
          <w:color w:val="000000" w:themeColor="text1"/>
          <w:sz w:val="24"/>
          <w:szCs w:val="24"/>
          <w:lang w:eastAsia="zh-TW"/>
        </w:rPr>
        <w:t>AdVLP</w:t>
      </w:r>
      <w:proofErr w:type="spellEnd"/>
      <w:r w:rsidR="00667559" w:rsidRPr="00667559">
        <w:rPr>
          <w:rFonts w:eastAsia="新細明體" w:cstheme="minorHAnsi"/>
          <w:color w:val="000000" w:themeColor="text1"/>
          <w:sz w:val="24"/>
          <w:szCs w:val="24"/>
          <w:lang w:eastAsia="zh-TW"/>
        </w:rPr>
        <w:t>-immunized splenic lymphocytes versus invariant natural killer T (</w:t>
      </w:r>
      <w:proofErr w:type="spellStart"/>
      <w:r w:rsidR="00667559" w:rsidRPr="00667559">
        <w:rPr>
          <w:rFonts w:eastAsia="新細明體" w:cstheme="minorHAnsi"/>
          <w:color w:val="000000" w:themeColor="text1"/>
          <w:sz w:val="24"/>
          <w:szCs w:val="24"/>
          <w:lang w:eastAsia="zh-TW"/>
        </w:rPr>
        <w:t>iNKT</w:t>
      </w:r>
      <w:proofErr w:type="spellEnd"/>
      <w:r w:rsidR="00667559" w:rsidRPr="00667559">
        <w:rPr>
          <w:rFonts w:eastAsia="新細明體" w:cstheme="minorHAnsi"/>
          <w:color w:val="000000" w:themeColor="text1"/>
          <w:sz w:val="24"/>
          <w:szCs w:val="24"/>
          <w:lang w:eastAsia="zh-TW"/>
        </w:rPr>
        <w:t xml:space="preserve">) cell-depleted lymphocytes in </w:t>
      </w:r>
      <w:proofErr w:type="spellStart"/>
      <w:r w:rsidR="00667559" w:rsidRPr="00667559">
        <w:rPr>
          <w:rFonts w:eastAsia="新細明體" w:cstheme="minorHAnsi"/>
          <w:color w:val="000000" w:themeColor="text1"/>
          <w:sz w:val="24"/>
          <w:szCs w:val="24"/>
          <w:lang w:eastAsia="zh-TW"/>
        </w:rPr>
        <w:t>Tg</w:t>
      </w:r>
      <w:proofErr w:type="spellEnd"/>
      <w:r w:rsidR="00667559" w:rsidRPr="00667559">
        <w:rPr>
          <w:rFonts w:eastAsia="新細明體" w:cstheme="minorHAnsi"/>
          <w:color w:val="000000" w:themeColor="text1"/>
          <w:sz w:val="24"/>
          <w:szCs w:val="24"/>
          <w:lang w:eastAsia="zh-TW"/>
        </w:rPr>
        <w:t xml:space="preserve"> mice before CVA10 challenge revealed a significant difference. </w:t>
      </w:r>
      <w:proofErr w:type="spellStart"/>
      <w:r w:rsidR="00667559" w:rsidRPr="00667559">
        <w:rPr>
          <w:rFonts w:eastAsia="新細明體" w:cstheme="minorHAnsi"/>
          <w:color w:val="000000" w:themeColor="text1"/>
          <w:sz w:val="24"/>
          <w:szCs w:val="24"/>
          <w:lang w:eastAsia="zh-TW"/>
        </w:rPr>
        <w:t>Tg</w:t>
      </w:r>
      <w:proofErr w:type="spellEnd"/>
      <w:r w:rsidR="00667559" w:rsidRPr="00667559">
        <w:rPr>
          <w:rFonts w:eastAsia="新細明體" w:cstheme="minorHAnsi"/>
          <w:color w:val="000000" w:themeColor="text1"/>
          <w:sz w:val="24"/>
          <w:szCs w:val="24"/>
          <w:lang w:eastAsia="zh-TW"/>
        </w:rPr>
        <w:t xml:space="preserve"> mice that passively received </w:t>
      </w:r>
      <w:proofErr w:type="spellStart"/>
      <w:r w:rsidR="00667559" w:rsidRPr="00667559">
        <w:rPr>
          <w:rFonts w:eastAsia="新細明體" w:cstheme="minorHAnsi"/>
          <w:color w:val="000000" w:themeColor="text1"/>
          <w:sz w:val="24"/>
          <w:szCs w:val="24"/>
          <w:lang w:eastAsia="zh-TW"/>
        </w:rPr>
        <w:t>iNKT</w:t>
      </w:r>
      <w:proofErr w:type="spellEnd"/>
      <w:r w:rsidR="00667559" w:rsidRPr="00667559">
        <w:rPr>
          <w:rFonts w:eastAsia="新細明體" w:cstheme="minorHAnsi"/>
          <w:color w:val="000000" w:themeColor="text1"/>
          <w:sz w:val="24"/>
          <w:szCs w:val="24"/>
          <w:lang w:eastAsia="zh-TW"/>
        </w:rPr>
        <w:t xml:space="preserve">-depleted lymphocytes were nearly all deceased by day 8 post-challenge, whereas those receiving </w:t>
      </w:r>
      <w:proofErr w:type="spellStart"/>
      <w:r w:rsidR="00667559" w:rsidRPr="00667559">
        <w:rPr>
          <w:rFonts w:eastAsia="新細明體" w:cstheme="minorHAnsi"/>
          <w:color w:val="000000" w:themeColor="text1"/>
          <w:sz w:val="24"/>
          <w:szCs w:val="24"/>
          <w:lang w:eastAsia="zh-TW"/>
        </w:rPr>
        <w:t>AdVLP</w:t>
      </w:r>
      <w:proofErr w:type="spellEnd"/>
      <w:r w:rsidR="00667559" w:rsidRPr="00667559">
        <w:rPr>
          <w:rFonts w:eastAsia="新細明體" w:cstheme="minorHAnsi"/>
          <w:color w:val="000000" w:themeColor="text1"/>
          <w:sz w:val="24"/>
          <w:szCs w:val="24"/>
          <w:lang w:eastAsia="zh-TW"/>
        </w:rPr>
        <w:t>-</w:t>
      </w:r>
      <w:r w:rsidR="00667559" w:rsidRPr="00667559">
        <w:rPr>
          <w:rFonts w:eastAsia="新細明體" w:cstheme="minorHAnsi"/>
          <w:color w:val="000000" w:themeColor="text1"/>
          <w:sz w:val="24"/>
          <w:szCs w:val="24"/>
          <w:lang w:eastAsia="zh-TW"/>
        </w:rPr>
        <w:lastRenderedPageBreak/>
        <w:t xml:space="preserve">immunized lymphocytes exhibited a 100% survival rate. Conversely, </w:t>
      </w:r>
      <w:proofErr w:type="spellStart"/>
      <w:r w:rsidR="00667559" w:rsidRPr="00667559">
        <w:rPr>
          <w:rFonts w:eastAsia="新細明體" w:cstheme="minorHAnsi"/>
          <w:color w:val="000000" w:themeColor="text1"/>
          <w:sz w:val="24"/>
          <w:szCs w:val="24"/>
          <w:lang w:eastAsia="zh-TW"/>
        </w:rPr>
        <w:t>Tg</w:t>
      </w:r>
      <w:proofErr w:type="spellEnd"/>
      <w:r w:rsidR="00667559" w:rsidRPr="00667559">
        <w:rPr>
          <w:rFonts w:eastAsia="新細明體" w:cstheme="minorHAnsi"/>
          <w:color w:val="000000" w:themeColor="text1"/>
          <w:sz w:val="24"/>
          <w:szCs w:val="24"/>
          <w:lang w:eastAsia="zh-TW"/>
        </w:rPr>
        <w:t xml:space="preserve"> mice that passively received FI-CVA10-immunized splenic lymphocytes did not show resistance to CVA10 challenge, indicating that neutralizing antibodies rather than cellular immunity played a key role in protecting against CVA10 infection. In conclusion, </w:t>
      </w:r>
      <w:proofErr w:type="spellStart"/>
      <w:r w:rsidR="00667559" w:rsidRPr="00667559">
        <w:rPr>
          <w:rFonts w:eastAsia="新細明體" w:cstheme="minorHAnsi"/>
          <w:color w:val="000000" w:themeColor="text1"/>
          <w:sz w:val="24"/>
          <w:szCs w:val="24"/>
          <w:lang w:eastAsia="zh-TW"/>
        </w:rPr>
        <w:t>AdVLP</w:t>
      </w:r>
      <w:proofErr w:type="spellEnd"/>
      <w:r w:rsidR="00667559" w:rsidRPr="00667559">
        <w:rPr>
          <w:rFonts w:eastAsia="新細明體" w:cstheme="minorHAnsi"/>
          <w:color w:val="000000" w:themeColor="text1"/>
          <w:sz w:val="24"/>
          <w:szCs w:val="24"/>
          <w:lang w:eastAsia="zh-TW"/>
        </w:rPr>
        <w:t xml:space="preserve"> </w:t>
      </w:r>
      <w:r w:rsidR="00F705CB">
        <w:rPr>
          <w:rFonts w:eastAsia="新細明體" w:cstheme="minorHAnsi"/>
          <w:color w:val="000000" w:themeColor="text1"/>
          <w:sz w:val="24"/>
          <w:szCs w:val="24"/>
          <w:lang w:eastAsia="zh-TW"/>
        </w:rPr>
        <w:t xml:space="preserve">vaccine </w:t>
      </w:r>
      <w:r w:rsidR="00667559" w:rsidRPr="00667559">
        <w:rPr>
          <w:rFonts w:eastAsia="新細明體" w:cstheme="minorHAnsi"/>
          <w:color w:val="000000" w:themeColor="text1"/>
          <w:sz w:val="24"/>
          <w:szCs w:val="24"/>
          <w:lang w:eastAsia="zh-TW"/>
        </w:rPr>
        <w:t xml:space="preserve">demonstrates multivalent efficacy against both EV71 and CV. </w:t>
      </w:r>
      <w:proofErr w:type="spellStart"/>
      <w:r w:rsidR="00667559" w:rsidRPr="00667559">
        <w:rPr>
          <w:rFonts w:eastAsia="新細明體" w:cstheme="minorHAnsi"/>
          <w:color w:val="000000" w:themeColor="text1"/>
          <w:sz w:val="24"/>
          <w:szCs w:val="24"/>
          <w:lang w:eastAsia="zh-TW"/>
        </w:rPr>
        <w:t>AdVLP</w:t>
      </w:r>
      <w:proofErr w:type="spellEnd"/>
      <w:r w:rsidR="00667559" w:rsidRPr="00667559">
        <w:rPr>
          <w:rFonts w:eastAsia="新細明體" w:cstheme="minorHAnsi"/>
          <w:color w:val="000000" w:themeColor="text1"/>
          <w:sz w:val="24"/>
          <w:szCs w:val="24"/>
          <w:lang w:eastAsia="zh-TW"/>
        </w:rPr>
        <w:t xml:space="preserve"> induces </w:t>
      </w:r>
      <w:proofErr w:type="spellStart"/>
      <w:r w:rsidR="00667559" w:rsidRPr="00667559">
        <w:rPr>
          <w:rFonts w:eastAsia="新細明體" w:cstheme="minorHAnsi"/>
          <w:color w:val="000000" w:themeColor="text1"/>
          <w:sz w:val="24"/>
          <w:szCs w:val="24"/>
          <w:lang w:eastAsia="zh-TW"/>
        </w:rPr>
        <w:t>iNKT</w:t>
      </w:r>
      <w:proofErr w:type="spellEnd"/>
      <w:r w:rsidR="00667559" w:rsidRPr="00667559">
        <w:rPr>
          <w:rFonts w:eastAsia="新細明體" w:cstheme="minorHAnsi"/>
          <w:color w:val="000000" w:themeColor="text1"/>
          <w:sz w:val="24"/>
          <w:szCs w:val="24"/>
          <w:lang w:eastAsia="zh-TW"/>
        </w:rPr>
        <w:t xml:space="preserve"> cells as well as antibody-mediated cellular responses, which serve as major protective mechanisms against CVA10 infection.</w:t>
      </w:r>
      <w:r w:rsidR="00F705CB">
        <w:rPr>
          <w:rFonts w:eastAsia="新細明體" w:cstheme="minorHAnsi"/>
          <w:color w:val="000000" w:themeColor="text1"/>
          <w:sz w:val="24"/>
          <w:szCs w:val="24"/>
          <w:lang w:eastAsia="zh-TW"/>
        </w:rPr>
        <w:t xml:space="preserve"> </w:t>
      </w:r>
      <w:r w:rsidR="00F705CB" w:rsidRPr="00F705CB">
        <w:rPr>
          <w:rFonts w:eastAsia="新細明體" w:cstheme="minorHAnsi"/>
          <w:color w:val="000000" w:themeColor="text1"/>
          <w:sz w:val="24"/>
          <w:szCs w:val="24"/>
          <w:lang w:eastAsia="zh-TW"/>
        </w:rPr>
        <w:t xml:space="preserve">The </w:t>
      </w:r>
      <w:r w:rsidR="00F705CB">
        <w:rPr>
          <w:rFonts w:eastAsia="新細明體" w:cstheme="minorHAnsi"/>
          <w:color w:val="000000" w:themeColor="text1"/>
          <w:sz w:val="24"/>
          <w:szCs w:val="24"/>
          <w:lang w:eastAsia="zh-TW"/>
        </w:rPr>
        <w:t>n</w:t>
      </w:r>
      <w:r w:rsidR="00667559" w:rsidRPr="00667559">
        <w:rPr>
          <w:rFonts w:eastAsia="新細明體" w:cstheme="minorHAnsi"/>
          <w:color w:val="000000" w:themeColor="text1"/>
          <w:sz w:val="24"/>
          <w:szCs w:val="24"/>
          <w:lang w:eastAsia="zh-TW"/>
        </w:rPr>
        <w:t>eutralizing antibodies induced by th</w:t>
      </w:r>
      <w:r w:rsidR="00F705CB">
        <w:rPr>
          <w:rFonts w:eastAsia="新細明體" w:cstheme="minorHAnsi"/>
          <w:color w:val="000000" w:themeColor="text1"/>
          <w:sz w:val="24"/>
          <w:szCs w:val="24"/>
          <w:lang w:eastAsia="zh-TW"/>
        </w:rPr>
        <w:t xml:space="preserve">e traditional FI-CVA10 vaccine </w:t>
      </w:r>
      <w:r w:rsidR="00667559" w:rsidRPr="00667559">
        <w:rPr>
          <w:rFonts w:eastAsia="新細明體" w:cstheme="minorHAnsi"/>
          <w:color w:val="000000" w:themeColor="text1"/>
          <w:sz w:val="24"/>
          <w:szCs w:val="24"/>
          <w:lang w:eastAsia="zh-TW"/>
        </w:rPr>
        <w:t>also plays a significant role in controlling CVA10 infection.</w:t>
      </w:r>
    </w:p>
    <w:p w14:paraId="4F9F9BDD" w14:textId="77777777"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r w:rsidRPr="00AF3F08">
        <w:rPr>
          <w:rFonts w:cstheme="minorHAnsi"/>
          <w:b/>
          <w:bCs/>
          <w:sz w:val="24"/>
          <w:szCs w:val="24"/>
        </w:rPr>
        <w:t xml:space="preserve">What will </w:t>
      </w:r>
      <w:r w:rsidR="009875E9" w:rsidRPr="00AF3F08">
        <w:rPr>
          <w:rFonts w:cstheme="minorHAnsi"/>
          <w:b/>
          <w:bCs/>
          <w:sz w:val="24"/>
          <w:szCs w:val="24"/>
        </w:rPr>
        <w:t xml:space="preserve">audience </w:t>
      </w:r>
      <w:r w:rsidR="00C022E2" w:rsidRPr="00AF3F08">
        <w:rPr>
          <w:rFonts w:cstheme="minorHAnsi"/>
          <w:b/>
          <w:bCs/>
          <w:sz w:val="24"/>
          <w:szCs w:val="24"/>
        </w:rPr>
        <w:t>learn</w:t>
      </w:r>
      <w:r w:rsidR="009875E9" w:rsidRPr="00AF3F08">
        <w:rPr>
          <w:rFonts w:cstheme="minorHAnsi"/>
          <w:b/>
          <w:bCs/>
          <w:sz w:val="24"/>
          <w:szCs w:val="24"/>
        </w:rPr>
        <w:t xml:space="preserve"> from your presentation? </w:t>
      </w:r>
    </w:p>
    <w:p w14:paraId="392B50B7" w14:textId="77777777" w:rsidR="00F705CB" w:rsidRPr="00F705CB" w:rsidRDefault="00F705CB" w:rsidP="00AF3F08">
      <w:pPr>
        <w:pStyle w:val="aa"/>
        <w:widowControl w:val="0"/>
        <w:numPr>
          <w:ilvl w:val="0"/>
          <w:numId w:val="6"/>
        </w:numPr>
        <w:autoSpaceDE w:val="0"/>
        <w:autoSpaceDN w:val="0"/>
        <w:adjustRightInd w:val="0"/>
        <w:spacing w:after="0" w:line="240" w:lineRule="auto"/>
        <w:rPr>
          <w:rFonts w:cstheme="minorHAnsi"/>
          <w:sz w:val="24"/>
          <w:szCs w:val="24"/>
        </w:rPr>
      </w:pPr>
      <w:r w:rsidRPr="00F705CB">
        <w:rPr>
          <w:rFonts w:cstheme="minorHAnsi"/>
          <w:color w:val="000000" w:themeColor="text1"/>
          <w:sz w:val="24"/>
          <w:szCs w:val="24"/>
          <w:shd w:val="clear" w:color="auto" w:fill="F7F7F8"/>
        </w:rPr>
        <w:t>Enterovirus A71 (EV-A71) and coxsackievirus A (CVA) were the primary causative agents of hand, foot, and mouth disease (HFMD)</w:t>
      </w:r>
    </w:p>
    <w:p w14:paraId="4DC457BE" w14:textId="77777777" w:rsidR="00AF3F08" w:rsidRPr="00AF3F08" w:rsidRDefault="00F705CB" w:rsidP="00AF3F08">
      <w:pPr>
        <w:pStyle w:val="aa"/>
        <w:widowControl w:val="0"/>
        <w:numPr>
          <w:ilvl w:val="0"/>
          <w:numId w:val="6"/>
        </w:numPr>
        <w:autoSpaceDE w:val="0"/>
        <w:autoSpaceDN w:val="0"/>
        <w:adjustRightInd w:val="0"/>
        <w:spacing w:after="0" w:line="240" w:lineRule="auto"/>
        <w:rPr>
          <w:rFonts w:cstheme="minorHAnsi"/>
          <w:sz w:val="24"/>
          <w:szCs w:val="24"/>
        </w:rPr>
      </w:pPr>
      <w:r>
        <w:rPr>
          <w:rFonts w:cstheme="minorHAnsi"/>
          <w:color w:val="000000" w:themeColor="text1"/>
          <w:sz w:val="24"/>
          <w:szCs w:val="24"/>
        </w:rPr>
        <w:t>A</w:t>
      </w:r>
      <w:r w:rsidRPr="00F705CB">
        <w:rPr>
          <w:rFonts w:cstheme="minorHAnsi"/>
          <w:color w:val="000000" w:themeColor="text1"/>
          <w:sz w:val="24"/>
          <w:szCs w:val="24"/>
        </w:rPr>
        <w:t xml:space="preserve"> potent-valent vaccine based on adenovector expressing enterovirus A71 (EV-A71) viral like particle (</w:t>
      </w:r>
      <w:proofErr w:type="spellStart"/>
      <w:r w:rsidRPr="00F705CB">
        <w:rPr>
          <w:rFonts w:cstheme="minorHAnsi"/>
          <w:color w:val="000000" w:themeColor="text1"/>
          <w:sz w:val="24"/>
          <w:szCs w:val="24"/>
        </w:rPr>
        <w:t>AdVLP</w:t>
      </w:r>
      <w:proofErr w:type="spellEnd"/>
      <w:r w:rsidRPr="00F705CB">
        <w:rPr>
          <w:rFonts w:cstheme="minorHAnsi"/>
          <w:color w:val="000000" w:themeColor="text1"/>
          <w:sz w:val="24"/>
          <w:szCs w:val="24"/>
        </w:rPr>
        <w:t>) which elicits a multivalence against not only EV71 but also other coxsackievi</w:t>
      </w:r>
      <w:r w:rsidRPr="00667559">
        <w:rPr>
          <w:rFonts w:cstheme="minorHAnsi"/>
          <w:color w:val="000000" w:themeColor="text1"/>
          <w:sz w:val="24"/>
          <w:szCs w:val="24"/>
        </w:rPr>
        <w:t>ruses such as A10</w:t>
      </w:r>
      <w:r>
        <w:rPr>
          <w:rFonts w:cstheme="minorHAnsi"/>
          <w:sz w:val="24"/>
          <w:szCs w:val="24"/>
        </w:rPr>
        <w:t>.</w:t>
      </w:r>
    </w:p>
    <w:p w14:paraId="0066F702" w14:textId="77777777" w:rsidR="00AF3F08" w:rsidRPr="00AF3F08" w:rsidRDefault="00F705CB" w:rsidP="00AF3F08">
      <w:pPr>
        <w:pStyle w:val="aa"/>
        <w:widowControl w:val="0"/>
        <w:numPr>
          <w:ilvl w:val="0"/>
          <w:numId w:val="6"/>
        </w:numPr>
        <w:autoSpaceDE w:val="0"/>
        <w:autoSpaceDN w:val="0"/>
        <w:adjustRightInd w:val="0"/>
        <w:spacing w:after="0" w:line="240" w:lineRule="auto"/>
        <w:rPr>
          <w:rFonts w:cstheme="minorHAnsi"/>
          <w:sz w:val="24"/>
          <w:szCs w:val="24"/>
        </w:rPr>
      </w:pPr>
      <w:proofErr w:type="spellStart"/>
      <w:r w:rsidRPr="00667559">
        <w:rPr>
          <w:rFonts w:eastAsia="新細明體" w:cstheme="minorHAnsi"/>
          <w:color w:val="000000" w:themeColor="text1"/>
          <w:sz w:val="24"/>
          <w:szCs w:val="24"/>
          <w:lang w:eastAsia="zh-TW"/>
        </w:rPr>
        <w:t>AdVLP</w:t>
      </w:r>
      <w:proofErr w:type="spellEnd"/>
      <w:r w:rsidRPr="00667559">
        <w:rPr>
          <w:rFonts w:eastAsia="新細明體" w:cstheme="minorHAnsi"/>
          <w:color w:val="000000" w:themeColor="text1"/>
          <w:sz w:val="24"/>
          <w:szCs w:val="24"/>
          <w:lang w:eastAsia="zh-TW"/>
        </w:rPr>
        <w:t xml:space="preserve"> induces </w:t>
      </w:r>
      <w:proofErr w:type="spellStart"/>
      <w:r w:rsidRPr="00667559">
        <w:rPr>
          <w:rFonts w:eastAsia="新細明體" w:cstheme="minorHAnsi"/>
          <w:color w:val="000000" w:themeColor="text1"/>
          <w:sz w:val="24"/>
          <w:szCs w:val="24"/>
          <w:lang w:eastAsia="zh-TW"/>
        </w:rPr>
        <w:t>iNKT</w:t>
      </w:r>
      <w:proofErr w:type="spellEnd"/>
      <w:r w:rsidRPr="00667559">
        <w:rPr>
          <w:rFonts w:eastAsia="新細明體" w:cstheme="minorHAnsi"/>
          <w:color w:val="000000" w:themeColor="text1"/>
          <w:sz w:val="24"/>
          <w:szCs w:val="24"/>
          <w:lang w:eastAsia="zh-TW"/>
        </w:rPr>
        <w:t xml:space="preserve"> cells as well as antibody-mediated cellular responses, which serve as major protective mechanisms against CVA10 infection</w:t>
      </w:r>
      <w:r w:rsidR="00080CEF" w:rsidRPr="00AF3F08">
        <w:rPr>
          <w:rFonts w:cstheme="minorHAnsi"/>
          <w:sz w:val="24"/>
          <w:szCs w:val="24"/>
        </w:rPr>
        <w:t xml:space="preserve"> </w:t>
      </w:r>
    </w:p>
    <w:p w14:paraId="091EB92F" w14:textId="77777777" w:rsidR="00AF3F08" w:rsidRPr="00AF3F08" w:rsidRDefault="0045175F" w:rsidP="00AF3F08">
      <w:pPr>
        <w:pStyle w:val="aa"/>
        <w:widowControl w:val="0"/>
        <w:numPr>
          <w:ilvl w:val="0"/>
          <w:numId w:val="6"/>
        </w:numPr>
        <w:autoSpaceDE w:val="0"/>
        <w:autoSpaceDN w:val="0"/>
        <w:adjustRightInd w:val="0"/>
        <w:spacing w:after="0" w:line="240" w:lineRule="auto"/>
        <w:rPr>
          <w:rFonts w:cstheme="minorHAnsi"/>
          <w:sz w:val="24"/>
          <w:szCs w:val="24"/>
        </w:rPr>
      </w:pPr>
      <w:r w:rsidRPr="00F705CB">
        <w:rPr>
          <w:rFonts w:eastAsia="新細明體" w:cstheme="minorHAnsi"/>
          <w:color w:val="000000" w:themeColor="text1"/>
          <w:sz w:val="24"/>
          <w:szCs w:val="24"/>
          <w:lang w:eastAsia="zh-TW"/>
        </w:rPr>
        <w:t xml:space="preserve">The </w:t>
      </w:r>
      <w:r>
        <w:rPr>
          <w:rFonts w:eastAsia="新細明體" w:cstheme="minorHAnsi"/>
          <w:color w:val="000000" w:themeColor="text1"/>
          <w:sz w:val="24"/>
          <w:szCs w:val="24"/>
          <w:lang w:eastAsia="zh-TW"/>
        </w:rPr>
        <w:t>n</w:t>
      </w:r>
      <w:r w:rsidRPr="00667559">
        <w:rPr>
          <w:rFonts w:eastAsia="新細明體" w:cstheme="minorHAnsi"/>
          <w:color w:val="000000" w:themeColor="text1"/>
          <w:sz w:val="24"/>
          <w:szCs w:val="24"/>
          <w:lang w:eastAsia="zh-TW"/>
        </w:rPr>
        <w:t>eutralizing antibodies induced by th</w:t>
      </w:r>
      <w:r>
        <w:rPr>
          <w:rFonts w:eastAsia="新細明體" w:cstheme="minorHAnsi"/>
          <w:color w:val="000000" w:themeColor="text1"/>
          <w:sz w:val="24"/>
          <w:szCs w:val="24"/>
          <w:lang w:eastAsia="zh-TW"/>
        </w:rPr>
        <w:t>e traditional FI-CVA10 vaccine induces t</w:t>
      </w:r>
      <w:r w:rsidRPr="00F705CB">
        <w:rPr>
          <w:rFonts w:eastAsia="新細明體" w:cstheme="minorHAnsi"/>
          <w:color w:val="000000" w:themeColor="text1"/>
          <w:sz w:val="24"/>
          <w:szCs w:val="24"/>
          <w:lang w:eastAsia="zh-TW"/>
        </w:rPr>
        <w:t xml:space="preserve">he </w:t>
      </w:r>
      <w:r>
        <w:rPr>
          <w:rFonts w:eastAsia="新細明體" w:cstheme="minorHAnsi"/>
          <w:color w:val="000000" w:themeColor="text1"/>
          <w:sz w:val="24"/>
          <w:szCs w:val="24"/>
          <w:lang w:eastAsia="zh-TW"/>
        </w:rPr>
        <w:t>n</w:t>
      </w:r>
      <w:r w:rsidRPr="00667559">
        <w:rPr>
          <w:rFonts w:eastAsia="新細明體" w:cstheme="minorHAnsi"/>
          <w:color w:val="000000" w:themeColor="text1"/>
          <w:sz w:val="24"/>
          <w:szCs w:val="24"/>
          <w:lang w:eastAsia="zh-TW"/>
        </w:rPr>
        <w:t>eutralizing antibodies</w:t>
      </w:r>
      <w:r>
        <w:rPr>
          <w:rFonts w:eastAsia="新細明體" w:cstheme="minorHAnsi"/>
          <w:color w:val="000000" w:themeColor="text1"/>
          <w:sz w:val="24"/>
          <w:szCs w:val="24"/>
          <w:lang w:eastAsia="zh-TW"/>
        </w:rPr>
        <w:t xml:space="preserve"> to</w:t>
      </w:r>
      <w:r w:rsidRPr="00667559">
        <w:rPr>
          <w:rFonts w:eastAsia="新細明體" w:cstheme="minorHAnsi"/>
          <w:color w:val="000000" w:themeColor="text1"/>
          <w:sz w:val="24"/>
          <w:szCs w:val="24"/>
          <w:lang w:eastAsia="zh-TW"/>
        </w:rPr>
        <w:t xml:space="preserve"> </w:t>
      </w:r>
      <w:r>
        <w:rPr>
          <w:rFonts w:eastAsia="新細明體" w:cstheme="minorHAnsi"/>
          <w:color w:val="000000" w:themeColor="text1"/>
          <w:sz w:val="24"/>
          <w:szCs w:val="24"/>
          <w:lang w:eastAsia="zh-TW"/>
        </w:rPr>
        <w:t>resist from</w:t>
      </w:r>
      <w:r w:rsidRPr="00667559">
        <w:rPr>
          <w:rFonts w:eastAsia="新細明體" w:cstheme="minorHAnsi"/>
          <w:color w:val="000000" w:themeColor="text1"/>
          <w:sz w:val="24"/>
          <w:szCs w:val="24"/>
          <w:lang w:eastAsia="zh-TW"/>
        </w:rPr>
        <w:t xml:space="preserve"> CVA10 infection</w:t>
      </w:r>
      <w:r w:rsidR="00080CEF" w:rsidRPr="00AF3F08">
        <w:rPr>
          <w:rFonts w:cstheme="minorHAnsi"/>
          <w:sz w:val="24"/>
          <w:szCs w:val="24"/>
        </w:rPr>
        <w:t xml:space="preserve"> </w:t>
      </w:r>
    </w:p>
    <w:p w14:paraId="7AB2EF0D" w14:textId="77777777" w:rsidR="00080CEF" w:rsidRPr="00AF3F08" w:rsidRDefault="00080CEF" w:rsidP="00CC5B42">
      <w:pPr>
        <w:pStyle w:val="aa"/>
        <w:widowControl w:val="0"/>
        <w:autoSpaceDE w:val="0"/>
        <w:autoSpaceDN w:val="0"/>
        <w:adjustRightInd w:val="0"/>
        <w:spacing w:after="0" w:line="240" w:lineRule="auto"/>
        <w:rPr>
          <w:rFonts w:cstheme="minorHAnsi"/>
          <w:sz w:val="24"/>
          <w:szCs w:val="24"/>
        </w:rPr>
      </w:pPr>
    </w:p>
    <w:p w14:paraId="0A441A15" w14:textId="77777777" w:rsidR="002249B7" w:rsidRPr="00AF3F08" w:rsidRDefault="002249B7" w:rsidP="00D15228">
      <w:pPr>
        <w:spacing w:after="0" w:line="240" w:lineRule="auto"/>
        <w:ind w:left="5760" w:firstLine="720"/>
        <w:jc w:val="center"/>
        <w:rPr>
          <w:rFonts w:cstheme="minorHAnsi"/>
          <w:bCs/>
          <w:sz w:val="24"/>
          <w:szCs w:val="24"/>
        </w:rPr>
      </w:pPr>
    </w:p>
    <w:sectPr w:rsidR="002249B7" w:rsidRPr="00AF3F08" w:rsidSect="00F7168E">
      <w:headerReference w:type="default" r:id="rId8"/>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CFB7" w14:textId="77777777" w:rsidR="006A4BBB" w:rsidRDefault="006A4BBB" w:rsidP="00CA5C6B">
      <w:pPr>
        <w:spacing w:after="0" w:line="240" w:lineRule="auto"/>
      </w:pPr>
      <w:r>
        <w:separator/>
      </w:r>
    </w:p>
  </w:endnote>
  <w:endnote w:type="continuationSeparator" w:id="0">
    <w:p w14:paraId="193CE21D" w14:textId="77777777" w:rsidR="006A4BBB" w:rsidRDefault="006A4BBB"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F67A" w14:textId="77777777" w:rsidR="006A4BBB" w:rsidRDefault="006A4BBB" w:rsidP="00CA5C6B">
      <w:pPr>
        <w:spacing w:after="0" w:line="240" w:lineRule="auto"/>
      </w:pPr>
      <w:r>
        <w:separator/>
      </w:r>
    </w:p>
  </w:footnote>
  <w:footnote w:type="continuationSeparator" w:id="0">
    <w:p w14:paraId="71E0EC9F" w14:textId="77777777" w:rsidR="006A4BBB" w:rsidRDefault="006A4BBB" w:rsidP="00CA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803E" w14:textId="77777777" w:rsidR="00AF3F08" w:rsidRPr="00AF3F08" w:rsidRDefault="00AF3F08">
    <w:pPr>
      <w:pStyle w:val="a6"/>
      <w:rPr>
        <w:b/>
        <w:sz w:val="28"/>
        <w:szCs w:val="28"/>
      </w:rPr>
    </w:pPr>
    <w:r w:rsidRPr="00AF3F08">
      <w:rPr>
        <w:b/>
        <w:sz w:val="28"/>
        <w:szCs w:val="28"/>
      </w:rPr>
      <w:t xml:space="preserve">                                               </w:t>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CE738F"/>
    <w:multiLevelType w:val="hybridMultilevel"/>
    <w:tmpl w:val="0D7E10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EF"/>
    <w:rsid w:val="00023E5B"/>
    <w:rsid w:val="0002722F"/>
    <w:rsid w:val="00031B86"/>
    <w:rsid w:val="00032269"/>
    <w:rsid w:val="00046AA1"/>
    <w:rsid w:val="00064F57"/>
    <w:rsid w:val="00080CEF"/>
    <w:rsid w:val="000863E5"/>
    <w:rsid w:val="000967D3"/>
    <w:rsid w:val="000E3DED"/>
    <w:rsid w:val="0011099D"/>
    <w:rsid w:val="0014426A"/>
    <w:rsid w:val="00165526"/>
    <w:rsid w:val="001771AE"/>
    <w:rsid w:val="001844D2"/>
    <w:rsid w:val="00184DBB"/>
    <w:rsid w:val="001A3943"/>
    <w:rsid w:val="001B189D"/>
    <w:rsid w:val="001D7551"/>
    <w:rsid w:val="001F1730"/>
    <w:rsid w:val="002249B7"/>
    <w:rsid w:val="00262C8F"/>
    <w:rsid w:val="002908C8"/>
    <w:rsid w:val="002959FE"/>
    <w:rsid w:val="002E6DCA"/>
    <w:rsid w:val="003244E1"/>
    <w:rsid w:val="003355A7"/>
    <w:rsid w:val="0034742B"/>
    <w:rsid w:val="00347D1A"/>
    <w:rsid w:val="00374E8B"/>
    <w:rsid w:val="00397C04"/>
    <w:rsid w:val="0042401F"/>
    <w:rsid w:val="00427785"/>
    <w:rsid w:val="00441AD6"/>
    <w:rsid w:val="00444B7A"/>
    <w:rsid w:val="0045175F"/>
    <w:rsid w:val="00462792"/>
    <w:rsid w:val="00463515"/>
    <w:rsid w:val="00475AE8"/>
    <w:rsid w:val="004A5DB5"/>
    <w:rsid w:val="004C0A5A"/>
    <w:rsid w:val="004C1421"/>
    <w:rsid w:val="004C24A8"/>
    <w:rsid w:val="004E7525"/>
    <w:rsid w:val="004F23F8"/>
    <w:rsid w:val="00524B38"/>
    <w:rsid w:val="00527433"/>
    <w:rsid w:val="005361F3"/>
    <w:rsid w:val="00566491"/>
    <w:rsid w:val="00571FD7"/>
    <w:rsid w:val="0057487D"/>
    <w:rsid w:val="00583B47"/>
    <w:rsid w:val="0058514F"/>
    <w:rsid w:val="00590B9C"/>
    <w:rsid w:val="0059327E"/>
    <w:rsid w:val="005A3770"/>
    <w:rsid w:val="005A7A71"/>
    <w:rsid w:val="005C2258"/>
    <w:rsid w:val="005C5BC8"/>
    <w:rsid w:val="005D6EC4"/>
    <w:rsid w:val="005F1542"/>
    <w:rsid w:val="005F33DB"/>
    <w:rsid w:val="00636162"/>
    <w:rsid w:val="0064547C"/>
    <w:rsid w:val="00667559"/>
    <w:rsid w:val="00693F54"/>
    <w:rsid w:val="006A4BBB"/>
    <w:rsid w:val="006B275E"/>
    <w:rsid w:val="006C7C70"/>
    <w:rsid w:val="006D5901"/>
    <w:rsid w:val="006F3BE6"/>
    <w:rsid w:val="006F4473"/>
    <w:rsid w:val="00703B68"/>
    <w:rsid w:val="0071253B"/>
    <w:rsid w:val="00714DEB"/>
    <w:rsid w:val="007413DC"/>
    <w:rsid w:val="00750D6E"/>
    <w:rsid w:val="007638CB"/>
    <w:rsid w:val="00772939"/>
    <w:rsid w:val="007A0150"/>
    <w:rsid w:val="007A5A26"/>
    <w:rsid w:val="007D3DB8"/>
    <w:rsid w:val="007E10C1"/>
    <w:rsid w:val="007E1229"/>
    <w:rsid w:val="007F1D59"/>
    <w:rsid w:val="008130B5"/>
    <w:rsid w:val="008233DC"/>
    <w:rsid w:val="00835254"/>
    <w:rsid w:val="00836B4A"/>
    <w:rsid w:val="008400A4"/>
    <w:rsid w:val="008425B8"/>
    <w:rsid w:val="008476CD"/>
    <w:rsid w:val="008A2E24"/>
    <w:rsid w:val="008D5CAD"/>
    <w:rsid w:val="00920532"/>
    <w:rsid w:val="00955F1E"/>
    <w:rsid w:val="009875E9"/>
    <w:rsid w:val="0098793E"/>
    <w:rsid w:val="009E1D4F"/>
    <w:rsid w:val="009E1F8C"/>
    <w:rsid w:val="009E2713"/>
    <w:rsid w:val="00A00A81"/>
    <w:rsid w:val="00AA2B9F"/>
    <w:rsid w:val="00AB164B"/>
    <w:rsid w:val="00AD4738"/>
    <w:rsid w:val="00AE3CC8"/>
    <w:rsid w:val="00AF2D09"/>
    <w:rsid w:val="00AF3F08"/>
    <w:rsid w:val="00B26EE3"/>
    <w:rsid w:val="00B46B7A"/>
    <w:rsid w:val="00B578DA"/>
    <w:rsid w:val="00B646B4"/>
    <w:rsid w:val="00B70960"/>
    <w:rsid w:val="00B7493F"/>
    <w:rsid w:val="00BB6530"/>
    <w:rsid w:val="00BE10D2"/>
    <w:rsid w:val="00BE119C"/>
    <w:rsid w:val="00BF699D"/>
    <w:rsid w:val="00C022E2"/>
    <w:rsid w:val="00C04098"/>
    <w:rsid w:val="00C262EA"/>
    <w:rsid w:val="00C312A8"/>
    <w:rsid w:val="00C46794"/>
    <w:rsid w:val="00C70DE0"/>
    <w:rsid w:val="00C867BF"/>
    <w:rsid w:val="00CA26EF"/>
    <w:rsid w:val="00CA347F"/>
    <w:rsid w:val="00CA3900"/>
    <w:rsid w:val="00CA5C6B"/>
    <w:rsid w:val="00CB37CB"/>
    <w:rsid w:val="00CC0F8A"/>
    <w:rsid w:val="00CC5B42"/>
    <w:rsid w:val="00CC5C81"/>
    <w:rsid w:val="00CD76A3"/>
    <w:rsid w:val="00CE1BE3"/>
    <w:rsid w:val="00D15228"/>
    <w:rsid w:val="00D678A6"/>
    <w:rsid w:val="00DA0996"/>
    <w:rsid w:val="00DB65B0"/>
    <w:rsid w:val="00DC6463"/>
    <w:rsid w:val="00DD268A"/>
    <w:rsid w:val="00DD54C4"/>
    <w:rsid w:val="00E00668"/>
    <w:rsid w:val="00E15757"/>
    <w:rsid w:val="00E42A83"/>
    <w:rsid w:val="00E53A4C"/>
    <w:rsid w:val="00E556D9"/>
    <w:rsid w:val="00E671DA"/>
    <w:rsid w:val="00EC29FC"/>
    <w:rsid w:val="00EC6E01"/>
    <w:rsid w:val="00ED0915"/>
    <w:rsid w:val="00F00122"/>
    <w:rsid w:val="00F11188"/>
    <w:rsid w:val="00F22902"/>
    <w:rsid w:val="00F311DA"/>
    <w:rsid w:val="00F34B8C"/>
    <w:rsid w:val="00F57ED8"/>
    <w:rsid w:val="00F632B6"/>
    <w:rsid w:val="00F705CB"/>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6EC4"/>
  <w15:docId w15:val="{5B378373-82A4-44DB-A1E3-DCB93299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CEF"/>
    <w:rPr>
      <w:color w:val="0000FF" w:themeColor="hyperlink"/>
      <w:u w:val="single"/>
    </w:rPr>
  </w:style>
  <w:style w:type="paragraph" w:styleId="a4">
    <w:name w:val="Balloon Text"/>
    <w:basedOn w:val="a"/>
    <w:link w:val="a5"/>
    <w:uiPriority w:val="99"/>
    <w:semiHidden/>
    <w:unhideWhenUsed/>
    <w:rsid w:val="00080CEF"/>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080CEF"/>
    <w:rPr>
      <w:rFonts w:ascii="Tahoma" w:hAnsi="Tahoma" w:cs="Tahoma"/>
      <w:sz w:val="16"/>
      <w:szCs w:val="16"/>
    </w:rPr>
  </w:style>
  <w:style w:type="paragraph" w:styleId="a6">
    <w:name w:val="header"/>
    <w:basedOn w:val="a"/>
    <w:link w:val="a7"/>
    <w:uiPriority w:val="99"/>
    <w:unhideWhenUsed/>
    <w:rsid w:val="00CA5C6B"/>
    <w:pPr>
      <w:tabs>
        <w:tab w:val="center" w:pos="4680"/>
        <w:tab w:val="right" w:pos="9360"/>
      </w:tabs>
      <w:spacing w:after="0" w:line="240" w:lineRule="auto"/>
    </w:pPr>
  </w:style>
  <w:style w:type="character" w:customStyle="1" w:styleId="a7">
    <w:name w:val="頁首 字元"/>
    <w:basedOn w:val="a0"/>
    <w:link w:val="a6"/>
    <w:uiPriority w:val="99"/>
    <w:rsid w:val="00CA5C6B"/>
  </w:style>
  <w:style w:type="paragraph" w:styleId="a8">
    <w:name w:val="footer"/>
    <w:basedOn w:val="a"/>
    <w:link w:val="a9"/>
    <w:uiPriority w:val="99"/>
    <w:unhideWhenUsed/>
    <w:rsid w:val="00CA5C6B"/>
    <w:pPr>
      <w:tabs>
        <w:tab w:val="center" w:pos="4680"/>
        <w:tab w:val="right" w:pos="9360"/>
      </w:tabs>
      <w:spacing w:after="0" w:line="240" w:lineRule="auto"/>
    </w:pPr>
  </w:style>
  <w:style w:type="character" w:customStyle="1" w:styleId="a9">
    <w:name w:val="頁尾 字元"/>
    <w:basedOn w:val="a0"/>
    <w:link w:val="a8"/>
    <w:uiPriority w:val="99"/>
    <w:rsid w:val="00CA5C6B"/>
  </w:style>
  <w:style w:type="paragraph" w:styleId="aa">
    <w:name w:val="List Paragraph"/>
    <w:basedOn w:val="a"/>
    <w:uiPriority w:val="34"/>
    <w:qFormat/>
    <w:rsid w:val="005C5BC8"/>
    <w:pPr>
      <w:ind w:left="720"/>
      <w:contextualSpacing/>
    </w:pPr>
  </w:style>
  <w:style w:type="character" w:customStyle="1" w:styleId="given-name">
    <w:name w:val="given-name"/>
    <w:rsid w:val="00524B38"/>
  </w:style>
  <w:style w:type="character" w:customStyle="1" w:styleId="text">
    <w:name w:val="text"/>
    <w:rsid w:val="0052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234438473">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E845-4D49-4626-8D3D-69A35992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周彥宏</cp:lastModifiedBy>
  <cp:revision>3</cp:revision>
  <dcterms:created xsi:type="dcterms:W3CDTF">2024-01-11T01:55:00Z</dcterms:created>
  <dcterms:modified xsi:type="dcterms:W3CDTF">2024-01-11T01:56:00Z</dcterms:modified>
</cp:coreProperties>
</file>