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A310" w14:textId="1FAE5148" w:rsidR="00DC4B4F" w:rsidRPr="00010C7E" w:rsidRDefault="0069751F" w:rsidP="00DC4B4F">
      <w:pPr>
        <w:jc w:val="both"/>
        <w:rPr>
          <w:rFonts w:ascii="Cambria" w:hAnsi="Cambria" w:cs="Arial"/>
          <w:b/>
          <w:bCs/>
          <w:lang w:eastAsia="cs-CZ"/>
        </w:rPr>
      </w:pPr>
      <w:r w:rsidRPr="00010C7E">
        <w:rPr>
          <w:rFonts w:ascii="Cambria" w:hAnsi="Cambria"/>
          <w:b/>
          <w:bCs/>
        </w:rPr>
        <w:t>Presentation title:</w:t>
      </w:r>
      <w:r w:rsidR="00DC4B4F" w:rsidRPr="00010C7E">
        <w:rPr>
          <w:rFonts w:ascii="Cambria" w:hAnsi="Cambria"/>
          <w:noProof/>
        </w:rPr>
        <w:t xml:space="preserve"> </w:t>
      </w:r>
      <w:bookmarkStart w:id="0" w:name="_Hlk160021481"/>
      <w:bookmarkEnd w:id="0"/>
    </w:p>
    <w:p w14:paraId="718F7AEB" w14:textId="17FC35C1" w:rsidR="00DC4B4F" w:rsidRPr="00010C7E" w:rsidRDefault="00DC4B4F" w:rsidP="00DC4B4F">
      <w:pPr>
        <w:jc w:val="both"/>
        <w:rPr>
          <w:rFonts w:ascii="Cambria" w:hAnsi="Cambria" w:cs="Arial"/>
        </w:rPr>
      </w:pPr>
      <w:r w:rsidRPr="00010C7E">
        <w:rPr>
          <w:rFonts w:ascii="Cambria" w:hAnsi="Cambria" w:cs="Arial"/>
        </w:rPr>
        <w:t>Secondary finding data interpretation based on WGS and WES validated protocols</w:t>
      </w:r>
    </w:p>
    <w:p w14:paraId="111C9CD6" w14:textId="7D70EED3" w:rsidR="0069751F" w:rsidRPr="00010C7E" w:rsidRDefault="003345F2" w:rsidP="0069751F">
      <w:pPr>
        <w:rPr>
          <w:rFonts w:ascii="Cambria" w:hAnsi="Cambria"/>
          <w:b/>
          <w:bCs/>
        </w:rPr>
      </w:pPr>
      <w:r w:rsidRPr="00010C7E">
        <w:rPr>
          <w:rFonts w:ascii="Cambria" w:hAnsi="Cambria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DCB180" wp14:editId="3D4F3877">
                <wp:simplePos x="0" y="0"/>
                <wp:positionH relativeFrom="column">
                  <wp:posOffset>4238307</wp:posOffset>
                </wp:positionH>
                <wp:positionV relativeFrom="paragraph">
                  <wp:posOffset>4128</wp:posOffset>
                </wp:positionV>
                <wp:extent cx="1414145" cy="1657350"/>
                <wp:effectExtent l="0" t="0" r="1460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A7155" w14:textId="15DFD0F4" w:rsidR="00DC4B4F" w:rsidRDefault="00AB6C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E3DA1D" wp14:editId="5B369888">
                                  <wp:extent cx="1247698" cy="1566862"/>
                                  <wp:effectExtent l="0" t="0" r="0" b="0"/>
                                  <wp:docPr id="2018819804" name="Obrázek 2" descr="Obsah obrázku Lidská tvář, osoba, Selfie, brýle&#10;&#10;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18819804" name="Obrázek 2" descr="Obsah obrázku Lidská tvář, osoba, Selfie, brýle&#10;&#10;Popis byl vytvořen automaticky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8976" cy="1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CB18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33.7pt;margin-top:.35pt;width:111.35pt;height:1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">
                <v:textbox>
                  <w:txbxContent>
                    <w:p w14:paraId="43CA7155" w14:textId="15DFD0F4" w:rsidR="00DC4B4F" w:rsidRDefault="00AB6C56">
                      <w:r>
                        <w:rPr>
                          <w:noProof/>
                        </w:rPr>
                        <w:drawing>
                          <wp:inline distT="0" distB="0" distL="0" distR="0" wp14:anchorId="11E3DA1D" wp14:editId="5B369888">
                            <wp:extent cx="1247698" cy="1566862"/>
                            <wp:effectExtent l="0" t="0" r="0" b="0"/>
                            <wp:docPr id="2018819804" name="Obrázek 2" descr="Obsah obrázku Lidská tvář, osoba, Selfie, brýle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18819804" name="Obrázek 2" descr="Obsah obrázku Lidská tvář, osoba, Selfie, brýle&#10;&#10;Popis byl vytvořen automaticky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8976" cy="1581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51F" w:rsidRPr="00010C7E">
        <w:rPr>
          <w:rFonts w:ascii="Cambria" w:hAnsi="Cambria"/>
          <w:b/>
          <w:bCs/>
        </w:rPr>
        <w:t>Corresponding Author name:</w:t>
      </w:r>
      <w:r w:rsidR="0011796D" w:rsidRPr="00010C7E">
        <w:rPr>
          <w:rFonts w:ascii="Cambria" w:hAnsi="Cambria"/>
          <w:b/>
          <w:bCs/>
        </w:rPr>
        <w:t xml:space="preserve"> </w:t>
      </w:r>
      <w:r w:rsidR="0011796D" w:rsidRPr="00010C7E">
        <w:rPr>
          <w:rFonts w:ascii="Cambria" w:hAnsi="Cambria"/>
        </w:rPr>
        <w:t xml:space="preserve">Katerina </w:t>
      </w:r>
      <w:proofErr w:type="spellStart"/>
      <w:r w:rsidR="0011796D" w:rsidRPr="00010C7E">
        <w:rPr>
          <w:rFonts w:ascii="Cambria" w:hAnsi="Cambria"/>
        </w:rPr>
        <w:t>Kvapilova</w:t>
      </w:r>
      <w:proofErr w:type="spellEnd"/>
    </w:p>
    <w:p w14:paraId="103DFD49" w14:textId="22E156A7" w:rsidR="0069751F" w:rsidRPr="00010C7E" w:rsidRDefault="0069751F" w:rsidP="0069751F">
      <w:pPr>
        <w:rPr>
          <w:rFonts w:ascii="Cambria" w:hAnsi="Cambria"/>
          <w:b/>
          <w:bCs/>
        </w:rPr>
      </w:pPr>
      <w:r w:rsidRPr="00010C7E">
        <w:rPr>
          <w:rFonts w:ascii="Cambria" w:hAnsi="Cambria"/>
          <w:b/>
          <w:bCs/>
        </w:rPr>
        <w:t>Affiliation:</w:t>
      </w:r>
      <w:r w:rsidR="002F3066" w:rsidRPr="00010C7E">
        <w:rPr>
          <w:rFonts w:ascii="Cambria" w:hAnsi="Cambria"/>
          <w:noProof/>
        </w:rPr>
        <w:t xml:space="preserve"> </w:t>
      </w:r>
      <w:r w:rsidR="0011796D" w:rsidRPr="00010C7E">
        <w:rPr>
          <w:rFonts w:ascii="Cambria" w:hAnsi="Cambria"/>
          <w:noProof/>
        </w:rPr>
        <w:t>Institute of Applied Biotechnologis a.s.</w:t>
      </w:r>
      <w:r w:rsidR="008224A2" w:rsidRPr="00010C7E">
        <w:rPr>
          <w:rFonts w:ascii="Cambria" w:hAnsi="Cambria"/>
          <w:noProof/>
        </w:rPr>
        <w:t>, Prague, Czech Republic</w:t>
      </w:r>
    </w:p>
    <w:p w14:paraId="79C85317" w14:textId="52766FD7" w:rsidR="0069751F" w:rsidRPr="00010C7E" w:rsidRDefault="0069751F" w:rsidP="0069751F">
      <w:pPr>
        <w:rPr>
          <w:rFonts w:ascii="Cambria" w:hAnsi="Cambria"/>
          <w:b/>
          <w:bCs/>
        </w:rPr>
      </w:pPr>
      <w:r w:rsidRPr="00010C7E">
        <w:rPr>
          <w:rFonts w:ascii="Cambria" w:hAnsi="Cambria"/>
          <w:b/>
          <w:bCs/>
        </w:rPr>
        <w:t>Ph. No:</w:t>
      </w:r>
      <w:r w:rsidR="00C659B9" w:rsidRPr="00010C7E">
        <w:rPr>
          <w:rFonts w:ascii="Cambria" w:hAnsi="Cambria"/>
          <w:b/>
          <w:bCs/>
        </w:rPr>
        <w:t xml:space="preserve"> </w:t>
      </w:r>
      <w:r w:rsidR="00C659B9" w:rsidRPr="00010C7E">
        <w:rPr>
          <w:rFonts w:ascii="Cambria" w:hAnsi="Cambria"/>
        </w:rPr>
        <w:t>+420 605 200 674</w:t>
      </w:r>
    </w:p>
    <w:p w14:paraId="50E2EE96" w14:textId="03611894" w:rsidR="0069751F" w:rsidRPr="00010C7E" w:rsidRDefault="0069751F" w:rsidP="0069751F">
      <w:pPr>
        <w:rPr>
          <w:rFonts w:ascii="Cambria" w:hAnsi="Cambria"/>
          <w:b/>
          <w:bCs/>
        </w:rPr>
      </w:pPr>
      <w:r w:rsidRPr="00010C7E">
        <w:rPr>
          <w:rFonts w:ascii="Cambria" w:hAnsi="Cambria"/>
          <w:b/>
          <w:bCs/>
        </w:rPr>
        <w:t>Email ID’s:</w:t>
      </w:r>
      <w:r w:rsidR="00C659B9" w:rsidRPr="00010C7E">
        <w:rPr>
          <w:rFonts w:ascii="Cambria" w:hAnsi="Cambria"/>
          <w:b/>
          <w:bCs/>
        </w:rPr>
        <w:t xml:space="preserve"> </w:t>
      </w:r>
      <w:r w:rsidR="00C659B9" w:rsidRPr="00010C7E">
        <w:rPr>
          <w:rFonts w:ascii="Cambria" w:hAnsi="Cambria"/>
        </w:rPr>
        <w:t>kvapilova@iabio.eu</w:t>
      </w:r>
    </w:p>
    <w:p w14:paraId="7510BC2C" w14:textId="7F2EEF1D" w:rsidR="0069751F" w:rsidRPr="00010C7E" w:rsidRDefault="0069751F" w:rsidP="0069751F">
      <w:pPr>
        <w:rPr>
          <w:rFonts w:ascii="Cambria" w:hAnsi="Cambria"/>
          <w:b/>
          <w:bCs/>
        </w:rPr>
      </w:pPr>
      <w:r w:rsidRPr="00010C7E">
        <w:rPr>
          <w:rFonts w:ascii="Cambria" w:hAnsi="Cambria"/>
          <w:b/>
          <w:bCs/>
        </w:rPr>
        <w:t>WhatsApp No:</w:t>
      </w:r>
      <w:r w:rsidR="002F3066" w:rsidRPr="00010C7E">
        <w:rPr>
          <w:rFonts w:ascii="Cambria" w:hAnsi="Cambria"/>
          <w:b/>
          <w:bCs/>
        </w:rPr>
        <w:t xml:space="preserve"> </w:t>
      </w:r>
      <w:r w:rsidR="00C659B9" w:rsidRPr="00010C7E">
        <w:rPr>
          <w:rFonts w:ascii="Cambria" w:hAnsi="Cambria"/>
        </w:rPr>
        <w:t>+420 605 200 674</w:t>
      </w:r>
    </w:p>
    <w:p w14:paraId="7A15FA7F" w14:textId="537785CE" w:rsidR="0069751F" w:rsidRPr="00010C7E" w:rsidRDefault="0069751F" w:rsidP="0069751F">
      <w:pPr>
        <w:rPr>
          <w:rFonts w:ascii="Cambria" w:hAnsi="Cambria"/>
          <w:b/>
          <w:bCs/>
        </w:rPr>
      </w:pPr>
      <w:r w:rsidRPr="00010C7E">
        <w:rPr>
          <w:rFonts w:ascii="Cambria" w:hAnsi="Cambria"/>
          <w:b/>
          <w:bCs/>
        </w:rPr>
        <w:t>Any alternative number:</w:t>
      </w:r>
    </w:p>
    <w:p w14:paraId="04D25D6B" w14:textId="6E5A0E88" w:rsidR="0069751F" w:rsidRPr="00010C7E" w:rsidRDefault="0069751F" w:rsidP="0069751F">
      <w:pPr>
        <w:rPr>
          <w:rFonts w:ascii="Cambria" w:hAnsi="Cambria"/>
          <w:b/>
          <w:bCs/>
        </w:rPr>
      </w:pPr>
      <w:r w:rsidRPr="00010C7E">
        <w:rPr>
          <w:rFonts w:ascii="Cambria" w:hAnsi="Cambria"/>
          <w:b/>
          <w:bCs/>
        </w:rPr>
        <w:t>Other Authors if any:</w:t>
      </w:r>
    </w:p>
    <w:p w14:paraId="74D10632" w14:textId="6583C5D6" w:rsidR="00B420BC" w:rsidRPr="00010C7E" w:rsidRDefault="00B420BC" w:rsidP="0069751F">
      <w:pPr>
        <w:rPr>
          <w:rFonts w:ascii="Cambria" w:hAnsi="Cambria"/>
        </w:rPr>
      </w:pPr>
      <w:r w:rsidRPr="00010C7E">
        <w:rPr>
          <w:rFonts w:ascii="Cambria" w:hAnsi="Cambria"/>
        </w:rPr>
        <w:t>Pavol Misenko</w:t>
      </w:r>
      <w:r w:rsidRPr="00010C7E">
        <w:rPr>
          <w:rFonts w:ascii="Cambria" w:hAnsi="Cambria"/>
          <w:vertAlign w:val="superscript"/>
        </w:rPr>
        <w:t>2</w:t>
      </w:r>
      <w:r w:rsidRPr="00010C7E">
        <w:rPr>
          <w:rFonts w:ascii="Cambria" w:hAnsi="Cambria"/>
        </w:rPr>
        <w:t>, J</w:t>
      </w:r>
      <w:r w:rsidR="00010C7E">
        <w:rPr>
          <w:rFonts w:ascii="Cambria" w:hAnsi="Cambria"/>
        </w:rPr>
        <w:t>a</w:t>
      </w:r>
      <w:r w:rsidRPr="00010C7E">
        <w:rPr>
          <w:rFonts w:ascii="Cambria" w:hAnsi="Cambria"/>
        </w:rPr>
        <w:t>n Radv</w:t>
      </w:r>
      <w:r w:rsidR="00010C7E">
        <w:rPr>
          <w:rFonts w:ascii="Cambria" w:hAnsi="Cambria"/>
        </w:rPr>
        <w:t>a</w:t>
      </w:r>
      <w:r w:rsidRPr="00010C7E">
        <w:rPr>
          <w:rFonts w:ascii="Cambria" w:hAnsi="Cambria"/>
        </w:rPr>
        <w:t>nszky</w:t>
      </w:r>
      <w:r w:rsidRPr="00010C7E">
        <w:rPr>
          <w:rFonts w:ascii="Cambria" w:hAnsi="Cambria"/>
          <w:vertAlign w:val="superscript"/>
        </w:rPr>
        <w:t>2</w:t>
      </w:r>
      <w:r w:rsidRPr="00010C7E">
        <w:rPr>
          <w:rFonts w:ascii="Cambria" w:hAnsi="Cambria"/>
        </w:rPr>
        <w:t>, Ondrej Brzon</w:t>
      </w:r>
      <w:r w:rsidRPr="00010C7E">
        <w:rPr>
          <w:rFonts w:ascii="Cambria" w:hAnsi="Cambria"/>
          <w:vertAlign w:val="superscript"/>
        </w:rPr>
        <w:t>1</w:t>
      </w:r>
      <w:r w:rsidRPr="00010C7E">
        <w:rPr>
          <w:rFonts w:ascii="Cambria" w:hAnsi="Cambria"/>
        </w:rPr>
        <w:t>, Jaroslav Budi</w:t>
      </w:r>
      <w:r w:rsidR="00010C7E">
        <w:rPr>
          <w:rFonts w:ascii="Cambria" w:hAnsi="Cambria"/>
        </w:rPr>
        <w:t>s</w:t>
      </w:r>
      <w:r w:rsidRPr="00010C7E">
        <w:rPr>
          <w:rFonts w:ascii="Cambria" w:hAnsi="Cambria"/>
          <w:vertAlign w:val="superscript"/>
        </w:rPr>
        <w:t>2</w:t>
      </w:r>
      <w:r w:rsidRPr="00010C7E">
        <w:rPr>
          <w:rFonts w:ascii="Cambria" w:hAnsi="Cambria"/>
        </w:rPr>
        <w:t>, Juraj Gazdarica</w:t>
      </w:r>
      <w:r w:rsidRPr="00010C7E">
        <w:rPr>
          <w:rFonts w:ascii="Cambria" w:hAnsi="Cambria"/>
          <w:vertAlign w:val="superscript"/>
        </w:rPr>
        <w:t>2</w:t>
      </w:r>
      <w:r w:rsidRPr="00010C7E">
        <w:rPr>
          <w:rFonts w:ascii="Cambria" w:hAnsi="Cambria"/>
        </w:rPr>
        <w:t>, Ondrej Pos</w:t>
      </w:r>
      <w:r w:rsidRPr="00010C7E">
        <w:rPr>
          <w:rFonts w:ascii="Cambria" w:hAnsi="Cambria"/>
          <w:vertAlign w:val="superscript"/>
        </w:rPr>
        <w:t>2</w:t>
      </w:r>
      <w:r w:rsidRPr="00010C7E">
        <w:rPr>
          <w:rFonts w:ascii="Cambria" w:hAnsi="Cambria"/>
        </w:rPr>
        <w:t>, Martin Kasny</w:t>
      </w:r>
      <w:r w:rsidRPr="00010C7E">
        <w:rPr>
          <w:rFonts w:ascii="Cambria" w:hAnsi="Cambria"/>
          <w:vertAlign w:val="superscript"/>
        </w:rPr>
        <w:t>1</w:t>
      </w:r>
      <w:r w:rsidRPr="00010C7E">
        <w:rPr>
          <w:rFonts w:ascii="Cambria" w:hAnsi="Cambria"/>
        </w:rPr>
        <w:t>, Tomas Szemes</w:t>
      </w:r>
      <w:r w:rsidR="008224A2" w:rsidRPr="00010C7E">
        <w:rPr>
          <w:rFonts w:ascii="Cambria" w:hAnsi="Cambria"/>
          <w:vertAlign w:val="superscript"/>
        </w:rPr>
        <w:t>2</w:t>
      </w:r>
      <w:r w:rsidRPr="00010C7E">
        <w:rPr>
          <w:rFonts w:ascii="Cambria" w:hAnsi="Cambria"/>
        </w:rPr>
        <w:t>, Petr Kvapil</w:t>
      </w:r>
      <w:r w:rsidRPr="00010C7E">
        <w:rPr>
          <w:rFonts w:ascii="Cambria" w:hAnsi="Cambria"/>
          <w:vertAlign w:val="superscript"/>
        </w:rPr>
        <w:t>1</w:t>
      </w:r>
      <w:r w:rsidRPr="00010C7E">
        <w:rPr>
          <w:rFonts w:ascii="Cambria" w:hAnsi="Cambria"/>
        </w:rPr>
        <w:t xml:space="preserve"> </w:t>
      </w:r>
    </w:p>
    <w:p w14:paraId="7F596911" w14:textId="10BAE37D" w:rsidR="00B420BC" w:rsidRPr="00010C7E" w:rsidRDefault="00B420BC" w:rsidP="0069751F">
      <w:pPr>
        <w:rPr>
          <w:rFonts w:ascii="Cambria" w:hAnsi="Cambria"/>
        </w:rPr>
      </w:pPr>
      <w:r w:rsidRPr="00010C7E">
        <w:rPr>
          <w:rFonts w:ascii="Cambria" w:hAnsi="Cambria"/>
        </w:rPr>
        <w:t xml:space="preserve">1 Institute of Applied Biotechnologies </w:t>
      </w:r>
      <w:proofErr w:type="spellStart"/>
      <w:r w:rsidRPr="00010C7E">
        <w:rPr>
          <w:rFonts w:ascii="Cambria" w:hAnsi="Cambria"/>
        </w:rPr>
        <w:t>a.s.</w:t>
      </w:r>
      <w:proofErr w:type="spellEnd"/>
      <w:r w:rsidR="00010C7E">
        <w:rPr>
          <w:rFonts w:ascii="Cambria" w:hAnsi="Cambria"/>
        </w:rPr>
        <w:t xml:space="preserve">, </w:t>
      </w:r>
      <w:r w:rsidR="006A2A0F">
        <w:rPr>
          <w:rFonts w:ascii="Cambria" w:hAnsi="Cambria"/>
        </w:rPr>
        <w:t xml:space="preserve">Prague, </w:t>
      </w:r>
      <w:r w:rsidR="00010C7E">
        <w:rPr>
          <w:rFonts w:ascii="Cambria" w:hAnsi="Cambria"/>
        </w:rPr>
        <w:t>Czech Republic</w:t>
      </w:r>
    </w:p>
    <w:p w14:paraId="2C82C6EC" w14:textId="0B21216C" w:rsidR="00B420BC" w:rsidRPr="00010C7E" w:rsidRDefault="00B420BC" w:rsidP="0069751F">
      <w:pPr>
        <w:rPr>
          <w:rFonts w:ascii="Cambria" w:hAnsi="Cambria"/>
        </w:rPr>
      </w:pPr>
      <w:r w:rsidRPr="00010C7E">
        <w:rPr>
          <w:rFonts w:ascii="Cambria" w:hAnsi="Cambria"/>
        </w:rPr>
        <w:t xml:space="preserve">2 </w:t>
      </w:r>
      <w:proofErr w:type="spellStart"/>
      <w:r w:rsidRPr="00010C7E">
        <w:rPr>
          <w:rFonts w:ascii="Cambria" w:hAnsi="Cambria"/>
        </w:rPr>
        <w:t>Geneton</w:t>
      </w:r>
      <w:proofErr w:type="spellEnd"/>
      <w:r w:rsidRPr="00010C7E">
        <w:rPr>
          <w:rFonts w:ascii="Cambria" w:hAnsi="Cambria"/>
        </w:rPr>
        <w:t xml:space="preserve"> </w:t>
      </w:r>
      <w:proofErr w:type="spellStart"/>
      <w:r w:rsidRPr="00010C7E">
        <w:rPr>
          <w:rFonts w:ascii="Cambria" w:hAnsi="Cambria"/>
        </w:rPr>
        <w:t>s.r.o.</w:t>
      </w:r>
      <w:proofErr w:type="spellEnd"/>
      <w:r w:rsidRPr="00010C7E">
        <w:rPr>
          <w:rFonts w:ascii="Cambria" w:hAnsi="Cambria"/>
        </w:rPr>
        <w:t xml:space="preserve">, Bratislava, </w:t>
      </w:r>
      <w:r w:rsidR="00010C7E" w:rsidRPr="00010C7E">
        <w:rPr>
          <w:rFonts w:ascii="Cambria" w:hAnsi="Cambria" w:cs="Arial"/>
          <w:shd w:val="clear" w:color="auto" w:fill="FFFFFF"/>
        </w:rPr>
        <w:t>Slovak Republic</w:t>
      </w:r>
    </w:p>
    <w:p w14:paraId="0FEC6D6C" w14:textId="4E3FE59F" w:rsidR="002F3066" w:rsidRPr="00010C7E" w:rsidRDefault="002F3066" w:rsidP="0069751F">
      <w:pPr>
        <w:rPr>
          <w:rFonts w:ascii="Cambria" w:hAnsi="Cambria"/>
        </w:rPr>
      </w:pPr>
      <w:r w:rsidRPr="00010C7E">
        <w:rPr>
          <w:rFonts w:ascii="Cambria" w:hAnsi="Cambria"/>
          <w:b/>
          <w:bCs/>
        </w:rPr>
        <w:t xml:space="preserve">Presentation type: </w:t>
      </w:r>
      <w:r w:rsidR="00C659B9" w:rsidRPr="00010C7E">
        <w:rPr>
          <w:rFonts w:ascii="Cambria" w:hAnsi="Cambria"/>
        </w:rPr>
        <w:t>Oral presentation</w:t>
      </w:r>
    </w:p>
    <w:p w14:paraId="43ADF3A9" w14:textId="3AC089FE" w:rsidR="000E0D22" w:rsidRPr="00010C7E" w:rsidRDefault="000E0D22" w:rsidP="000E0D22">
      <w:pPr>
        <w:jc w:val="both"/>
        <w:rPr>
          <w:rFonts w:ascii="Cambria" w:hAnsi="Cambria"/>
        </w:rPr>
      </w:pPr>
      <w:r w:rsidRPr="00010C7E">
        <w:rPr>
          <w:rFonts w:ascii="Cambria" w:hAnsi="Cambria"/>
        </w:rPr>
        <w:t>Whole exome sequencing (WES) and whole genome sequencing (WGS) are standards in human clinical diagnostics and population genomics. First</w:t>
      </w:r>
      <w:r w:rsidR="006A2A0F">
        <w:rPr>
          <w:rFonts w:ascii="Cambria" w:hAnsi="Cambria"/>
        </w:rPr>
        <w:t>,</w:t>
      </w:r>
      <w:r w:rsidRPr="00010C7E">
        <w:rPr>
          <w:rFonts w:ascii="Cambria" w:hAnsi="Cambria"/>
        </w:rPr>
        <w:t xml:space="preserve"> we validated WGS and WES protocols by repeated sequencing and analysis of the NIST standard Coriell NA12878</w:t>
      </w:r>
      <w:r w:rsidR="006A2A0F">
        <w:rPr>
          <w:rFonts w:ascii="Cambria" w:hAnsi="Cambria"/>
        </w:rPr>
        <w:t>.</w:t>
      </w:r>
      <w:r w:rsidRPr="00010C7E">
        <w:rPr>
          <w:rFonts w:ascii="Cambria" w:hAnsi="Cambria"/>
        </w:rPr>
        <w:t xml:space="preserve"> </w:t>
      </w:r>
      <w:proofErr w:type="spellStart"/>
      <w:r w:rsidRPr="00010C7E">
        <w:rPr>
          <w:rFonts w:ascii="Cambria" w:hAnsi="Cambria"/>
        </w:rPr>
        <w:t>NA12878</w:t>
      </w:r>
      <w:proofErr w:type="spellEnd"/>
      <w:r w:rsidRPr="00010C7E">
        <w:rPr>
          <w:rFonts w:ascii="Cambria" w:hAnsi="Cambria"/>
        </w:rPr>
        <w:t xml:space="preserve"> data calls were compared to the truth dataset published by the Genome in a Bottle Consortium. Subsequently we evaluated the quality and genotype concordance of single nucleotide variants (SNVs) and small insertions/deletions (indels) in the data sets. A paired comparison of blood-derived gDNA and saliva-derived gDNA was performed for SNVs and indels for both, WES and WGS using reference-validated protocols. The level of genotype concordance was also studied using ACMG SF v 3.2. gene set in two settings: </w:t>
      </w:r>
      <w:proofErr w:type="spellStart"/>
      <w:r w:rsidRPr="00010C7E">
        <w:rPr>
          <w:rFonts w:ascii="Cambria" w:hAnsi="Cambria"/>
        </w:rPr>
        <w:t>exonic</w:t>
      </w:r>
      <w:proofErr w:type="spellEnd"/>
      <w:r w:rsidRPr="00010C7E">
        <w:rPr>
          <w:rFonts w:ascii="Cambria" w:hAnsi="Cambria"/>
        </w:rPr>
        <w:t xml:space="preserve"> regions only/complete genes. The F1 score of ten paired blood-saliva samples range between 0.8030-0.9998 for SNVs and between 0.8883-0.9991 for indels in the WGS, and between 0.8643-0.999 for SNVs and between 0.7781-1.000 for indels in WES. The average values of SNVs variant calls concordance in ACMG SF gene set were 98</w:t>
      </w:r>
      <w:r w:rsidR="00010C7E">
        <w:rPr>
          <w:rFonts w:ascii="Cambria" w:hAnsi="Cambria"/>
        </w:rPr>
        <w:t>.</w:t>
      </w:r>
      <w:r w:rsidRPr="00010C7E">
        <w:rPr>
          <w:rFonts w:ascii="Cambria" w:hAnsi="Cambria"/>
        </w:rPr>
        <w:t>73 % for WGS, 99</w:t>
      </w:r>
      <w:r w:rsidR="00010C7E">
        <w:rPr>
          <w:rFonts w:ascii="Cambria" w:hAnsi="Cambria"/>
        </w:rPr>
        <w:t>.</w:t>
      </w:r>
      <w:r w:rsidRPr="00010C7E">
        <w:rPr>
          <w:rFonts w:ascii="Cambria" w:hAnsi="Cambria"/>
        </w:rPr>
        <w:t xml:space="preserve">81 % for WGS restricted to </w:t>
      </w:r>
      <w:proofErr w:type="spellStart"/>
      <w:r w:rsidRPr="00010C7E">
        <w:rPr>
          <w:rFonts w:ascii="Cambria" w:hAnsi="Cambria"/>
        </w:rPr>
        <w:t>exonic</w:t>
      </w:r>
      <w:proofErr w:type="spellEnd"/>
      <w:r w:rsidRPr="00010C7E">
        <w:rPr>
          <w:rFonts w:ascii="Cambria" w:hAnsi="Cambria"/>
        </w:rPr>
        <w:t xml:space="preserve"> regions only and 99</w:t>
      </w:r>
      <w:r w:rsidR="00010C7E">
        <w:rPr>
          <w:rFonts w:ascii="Cambria" w:hAnsi="Cambria"/>
        </w:rPr>
        <w:t>.</w:t>
      </w:r>
      <w:r w:rsidRPr="00010C7E">
        <w:rPr>
          <w:rFonts w:ascii="Cambria" w:hAnsi="Cambria"/>
        </w:rPr>
        <w:t>54 % for WES. Concordance of indels calls reach on average 92</w:t>
      </w:r>
      <w:r w:rsidR="00010C7E">
        <w:rPr>
          <w:rFonts w:ascii="Cambria" w:hAnsi="Cambria"/>
        </w:rPr>
        <w:t>.</w:t>
      </w:r>
      <w:r w:rsidRPr="00010C7E">
        <w:rPr>
          <w:rFonts w:ascii="Cambria" w:hAnsi="Cambria"/>
        </w:rPr>
        <w:t>88 % for WGS samples, 97</w:t>
      </w:r>
      <w:r w:rsidR="00010C7E">
        <w:rPr>
          <w:rFonts w:ascii="Cambria" w:hAnsi="Cambria"/>
        </w:rPr>
        <w:t>.</w:t>
      </w:r>
      <w:r w:rsidRPr="00010C7E">
        <w:rPr>
          <w:rFonts w:ascii="Cambria" w:hAnsi="Cambria"/>
        </w:rPr>
        <w:t xml:space="preserve">77 % for </w:t>
      </w:r>
      <w:proofErr w:type="spellStart"/>
      <w:r w:rsidRPr="00010C7E">
        <w:rPr>
          <w:rFonts w:ascii="Cambria" w:hAnsi="Cambria"/>
        </w:rPr>
        <w:t>exonic</w:t>
      </w:r>
      <w:proofErr w:type="spellEnd"/>
      <w:r w:rsidRPr="00010C7E">
        <w:rPr>
          <w:rFonts w:ascii="Cambria" w:hAnsi="Cambria"/>
        </w:rPr>
        <w:t xml:space="preserve"> regions in WGS and 70</w:t>
      </w:r>
      <w:r w:rsidR="00010C7E">
        <w:rPr>
          <w:rFonts w:ascii="Cambria" w:hAnsi="Cambria"/>
        </w:rPr>
        <w:t>.</w:t>
      </w:r>
      <w:r w:rsidRPr="00010C7E">
        <w:rPr>
          <w:rFonts w:ascii="Cambria" w:hAnsi="Cambria"/>
        </w:rPr>
        <w:t>51 % for WES. The quality pattern of called variants obtained from genomic-reference-based technical replicates correlates with data calls of paired blood–saliva-derived samples in all levels of tested examinations. The resulting data shows a clear advantage of the WGS approach over WES; especially for indels analysis while confirming no significant differences between blood and saliva samples. </w:t>
      </w:r>
    </w:p>
    <w:p w14:paraId="72B4E11D" w14:textId="4F97A406" w:rsidR="002F3066" w:rsidRPr="00010C7E" w:rsidRDefault="002F3066" w:rsidP="002F3066">
      <w:pPr>
        <w:jc w:val="both"/>
        <w:rPr>
          <w:rFonts w:ascii="Cambria" w:hAnsi="Cambria"/>
          <w:b/>
          <w:bCs/>
        </w:rPr>
      </w:pPr>
      <w:r w:rsidRPr="00010C7E">
        <w:rPr>
          <w:rFonts w:ascii="Cambria" w:hAnsi="Cambria"/>
          <w:b/>
          <w:bCs/>
        </w:rPr>
        <w:t xml:space="preserve">Biography </w:t>
      </w:r>
    </w:p>
    <w:p w14:paraId="5FED21BB" w14:textId="77777777" w:rsidR="00DF54BC" w:rsidRPr="00010C7E" w:rsidRDefault="00DF54BC" w:rsidP="006A2A0F">
      <w:pPr>
        <w:jc w:val="both"/>
        <w:rPr>
          <w:rFonts w:ascii="Cambria" w:hAnsi="Cambria"/>
        </w:rPr>
      </w:pPr>
      <w:r w:rsidRPr="00010C7E">
        <w:rPr>
          <w:rFonts w:ascii="Cambria" w:hAnsi="Cambria"/>
        </w:rPr>
        <w:t>I believe in the power of precise thinking, logical arguments, and principles. That's why our team and I focused on a comparative study that provides solid arguments for the use of saliva in clinical diagnostics.</w:t>
      </w:r>
    </w:p>
    <w:p w14:paraId="6CEA563D" w14:textId="4D654C13" w:rsidR="0069751F" w:rsidRPr="00010C7E" w:rsidRDefault="00DF54BC" w:rsidP="006A2A0F">
      <w:pPr>
        <w:jc w:val="both"/>
        <w:rPr>
          <w:rFonts w:ascii="Cambria" w:hAnsi="Cambria"/>
        </w:rPr>
      </w:pPr>
      <w:r w:rsidRPr="00010C7E">
        <w:rPr>
          <w:rFonts w:ascii="Cambria" w:hAnsi="Cambria"/>
        </w:rPr>
        <w:lastRenderedPageBreak/>
        <w:t xml:space="preserve">As a graduate molecular biologist, I can see what great progress has been made in the last 5 years, not only in the field of sequencing but also in the bioinformatics processing of sequencing data as well as the implementation of AI in clinical diagnostics. </w:t>
      </w:r>
      <w:r w:rsidR="003E125E" w:rsidRPr="00010C7E">
        <w:rPr>
          <w:rFonts w:ascii="Cambria" w:hAnsi="Cambria"/>
        </w:rPr>
        <w:t>I have been working at the Institute of Applied Biotechnology for five years, where I see the sense in making sequencing technology available to users of biological sciences as well as to clinicians.</w:t>
      </w:r>
    </w:p>
    <w:p w14:paraId="422449F2" w14:textId="77777777" w:rsidR="003E125E" w:rsidRPr="003E125E" w:rsidRDefault="003E125E" w:rsidP="006A2A0F">
      <w:pPr>
        <w:jc w:val="both"/>
        <w:rPr>
          <w:rFonts w:ascii="Cambria" w:hAnsi="Cambria"/>
        </w:rPr>
      </w:pPr>
    </w:p>
    <w:sectPr w:rsidR="003E125E" w:rsidRPr="003E1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ADD"/>
    <w:multiLevelType w:val="hybridMultilevel"/>
    <w:tmpl w:val="40B016CC"/>
    <w:lvl w:ilvl="0" w:tplc="43048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617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6F"/>
    <w:rsid w:val="00010C7E"/>
    <w:rsid w:val="00045C28"/>
    <w:rsid w:val="000E0D22"/>
    <w:rsid w:val="0011796D"/>
    <w:rsid w:val="002F3066"/>
    <w:rsid w:val="003345F2"/>
    <w:rsid w:val="00355E9C"/>
    <w:rsid w:val="003863D6"/>
    <w:rsid w:val="003E125E"/>
    <w:rsid w:val="005C4B14"/>
    <w:rsid w:val="0069751F"/>
    <w:rsid w:val="006A2A0F"/>
    <w:rsid w:val="00770E25"/>
    <w:rsid w:val="008224A2"/>
    <w:rsid w:val="0093336F"/>
    <w:rsid w:val="00A35230"/>
    <w:rsid w:val="00AB6C56"/>
    <w:rsid w:val="00B03C8F"/>
    <w:rsid w:val="00B420BC"/>
    <w:rsid w:val="00C659B9"/>
    <w:rsid w:val="00DC4B4F"/>
    <w:rsid w:val="00D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2787"/>
  <w15:docId w15:val="{8F382415-6C69-40B6-BCB6-05EAFCDC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7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Korukonda Anuja</dc:creator>
  <cp:keywords/>
  <dc:description/>
  <cp:lastModifiedBy>fillerova@iabio.eu</cp:lastModifiedBy>
  <cp:revision>3</cp:revision>
  <dcterms:created xsi:type="dcterms:W3CDTF">2024-02-28T14:51:00Z</dcterms:created>
  <dcterms:modified xsi:type="dcterms:W3CDTF">2024-02-29T15:34:00Z</dcterms:modified>
</cp:coreProperties>
</file>