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5E68" w14:textId="3A39D2D5" w:rsidR="00E90F6E" w:rsidRPr="00E90F6E" w:rsidRDefault="006529DB" w:rsidP="00E90F6E">
      <w:pPr>
        <w:jc w:val="both"/>
        <w:rPr>
          <w:lang w:val="en-US"/>
        </w:rPr>
      </w:pPr>
      <w:r w:rsidRPr="006529DB">
        <w:rPr>
          <w:rFonts w:ascii="Cambria" w:hAnsi="Cambria"/>
        </w:rPr>
        <w:drawing>
          <wp:anchor distT="0" distB="0" distL="114300" distR="114300" simplePos="0" relativeHeight="251658240" behindDoc="1" locked="0" layoutInCell="1" allowOverlap="1" wp14:anchorId="123E6775" wp14:editId="6820DD15">
            <wp:simplePos x="0" y="0"/>
            <wp:positionH relativeFrom="column">
              <wp:posOffset>4487104</wp:posOffset>
            </wp:positionH>
            <wp:positionV relativeFrom="paragraph">
              <wp:posOffset>0</wp:posOffset>
            </wp:positionV>
            <wp:extent cx="1111250" cy="1671320"/>
            <wp:effectExtent l="0" t="0" r="6350" b="5080"/>
            <wp:wrapTight wrapText="bothSides">
              <wp:wrapPolygon edited="0">
                <wp:start x="0" y="0"/>
                <wp:lineTo x="0" y="21502"/>
                <wp:lineTo x="21477" y="21502"/>
                <wp:lineTo x="21477" y="0"/>
                <wp:lineTo x="0" y="0"/>
              </wp:wrapPolygon>
            </wp:wrapTight>
            <wp:docPr id="1997747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74703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F6E" w:rsidRPr="0069751F">
        <w:rPr>
          <w:rFonts w:ascii="Cambria" w:hAnsi="Cambria"/>
          <w:b/>
          <w:bCs/>
        </w:rPr>
        <w:t>Presentation title:</w:t>
      </w:r>
      <w:r w:rsidR="00E90F6E" w:rsidRPr="00E90F6E">
        <w:rPr>
          <w:rFonts w:ascii="Cambria" w:hAnsi="Cambria"/>
          <w:b/>
          <w:bCs/>
          <w:lang w:val="en-US"/>
        </w:rPr>
        <w:t xml:space="preserve"> </w:t>
      </w:r>
      <w:r w:rsidR="00E90F6E" w:rsidRPr="00E90F6E">
        <w:rPr>
          <w:lang w:val="en-US"/>
        </w:rPr>
        <w:t xml:space="preserve">Decoding the code of duty: “Ring stage </w:t>
      </w:r>
      <w:r w:rsidR="00E90F6E" w:rsidRPr="00E90F6E">
        <w:rPr>
          <w:i/>
          <w:iCs/>
          <w:lang w:val="en-US"/>
        </w:rPr>
        <w:t>Plasmodium falciparum</w:t>
      </w:r>
      <w:r w:rsidR="00E90F6E" w:rsidRPr="00E90F6E">
        <w:rPr>
          <w:lang w:val="en-US"/>
        </w:rPr>
        <w:t xml:space="preserve"> alters microRNA/mRNA of brain and lung endothelium”</w:t>
      </w:r>
    </w:p>
    <w:p w14:paraId="3BAB70E8" w14:textId="4B163D81" w:rsidR="00E90F6E" w:rsidRPr="00E90F6E" w:rsidRDefault="00E90F6E" w:rsidP="00E90F6E">
      <w:pPr>
        <w:rPr>
          <w:rFonts w:ascii="Cambria" w:hAnsi="Cambria"/>
          <w:b/>
          <w:bCs/>
          <w:lang w:val="en-US"/>
        </w:rPr>
      </w:pPr>
      <w:r w:rsidRPr="0069751F">
        <w:rPr>
          <w:rFonts w:ascii="Cambria" w:hAnsi="Cambria"/>
          <w:b/>
          <w:bCs/>
        </w:rPr>
        <w:t>Corresponding Author name:</w:t>
      </w:r>
      <w:r w:rsidRPr="00E90F6E">
        <w:rPr>
          <w:rFonts w:ascii="Cambria" w:hAnsi="Cambria"/>
          <w:b/>
          <w:bCs/>
          <w:lang w:val="en-US"/>
        </w:rPr>
        <w:t xml:space="preserve"> </w:t>
      </w:r>
      <w:r w:rsidRPr="00E90F6E">
        <w:rPr>
          <w:rFonts w:ascii="Cambria" w:hAnsi="Cambria"/>
          <w:lang w:val="en-US"/>
        </w:rPr>
        <w:t xml:space="preserve">Nahla Galal </w:t>
      </w:r>
      <w:proofErr w:type="spellStart"/>
      <w:r w:rsidRPr="00E90F6E">
        <w:rPr>
          <w:rFonts w:ascii="Cambria" w:hAnsi="Cambria"/>
          <w:lang w:val="en-US"/>
        </w:rPr>
        <w:t>Metwally</w:t>
      </w:r>
      <w:proofErr w:type="spellEnd"/>
    </w:p>
    <w:p w14:paraId="3B1745CE" w14:textId="371D81EF" w:rsidR="00E90F6E" w:rsidRPr="00E90F6E" w:rsidRDefault="00E90F6E" w:rsidP="00E90F6E">
      <w:pPr>
        <w:rPr>
          <w:rFonts w:ascii="Cambria" w:hAnsi="Cambria"/>
          <w:lang w:val="en-US"/>
        </w:rPr>
      </w:pPr>
      <w:r w:rsidRPr="0069751F">
        <w:rPr>
          <w:rFonts w:ascii="Cambria" w:hAnsi="Cambria"/>
          <w:b/>
          <w:bCs/>
        </w:rPr>
        <w:t>Affiliation:</w:t>
      </w:r>
      <w:r w:rsidRPr="002F3066">
        <w:rPr>
          <w:noProof/>
        </w:rPr>
        <w:t xml:space="preserve"> </w:t>
      </w:r>
      <w:r w:rsidRPr="00E90F6E">
        <w:rPr>
          <w:rFonts w:ascii="Cambria" w:hAnsi="Cambria"/>
          <w:lang w:val="en-US"/>
        </w:rPr>
        <w:t xml:space="preserve">Bernhard </w:t>
      </w:r>
      <w:proofErr w:type="spellStart"/>
      <w:r w:rsidRPr="00E90F6E">
        <w:rPr>
          <w:rFonts w:ascii="Cambria" w:hAnsi="Cambria"/>
          <w:lang w:val="en-US"/>
        </w:rPr>
        <w:t>Nocht</w:t>
      </w:r>
      <w:proofErr w:type="spellEnd"/>
      <w:r w:rsidRPr="00E90F6E">
        <w:rPr>
          <w:rFonts w:ascii="Cambria" w:hAnsi="Cambria"/>
          <w:lang w:val="en-US"/>
        </w:rPr>
        <w:t xml:space="preserve"> Institute for Tropical Medicine</w:t>
      </w:r>
    </w:p>
    <w:p w14:paraId="0366DC5B" w14:textId="39B04452" w:rsidR="00E90F6E" w:rsidRPr="00E90F6E" w:rsidRDefault="00E90F6E" w:rsidP="00E90F6E">
      <w:pPr>
        <w:jc w:val="both"/>
        <w:rPr>
          <w:rFonts w:ascii="Cambria" w:hAnsi="Cambria"/>
          <w:lang w:val="en-US"/>
        </w:rPr>
      </w:pPr>
      <w:r w:rsidRPr="0069751F">
        <w:rPr>
          <w:rFonts w:ascii="Cambria" w:hAnsi="Cambria"/>
          <w:b/>
          <w:bCs/>
        </w:rPr>
        <w:t>Email ID’s:</w:t>
      </w:r>
      <w:r w:rsidRPr="00E90F6E">
        <w:rPr>
          <w:rFonts w:ascii="Cambria" w:hAnsi="Cambria"/>
          <w:b/>
          <w:bCs/>
          <w:lang w:val="en-US"/>
        </w:rPr>
        <w:t xml:space="preserve"> </w:t>
      </w:r>
      <w:r w:rsidRPr="00E90F6E">
        <w:rPr>
          <w:rFonts w:ascii="Cambria" w:hAnsi="Cambria"/>
          <w:lang w:val="en-US"/>
        </w:rPr>
        <w:t>metwally@bnitm.de</w:t>
      </w:r>
    </w:p>
    <w:p w14:paraId="4EF0E89B" w14:textId="6C860EF2" w:rsidR="00E90F6E" w:rsidRPr="00E90F6E" w:rsidRDefault="00E90F6E" w:rsidP="00E90F6E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Presentation type: </w:t>
      </w:r>
      <w:r w:rsidRPr="00E90F6E">
        <w:rPr>
          <w:rFonts w:ascii="Cambria" w:hAnsi="Cambria"/>
        </w:rPr>
        <w:t>Oral presentation</w:t>
      </w:r>
      <w:r w:rsidR="006529DB" w:rsidRPr="006529DB">
        <w:rPr>
          <w:noProof/>
        </w:rPr>
        <w:t xml:space="preserve"> </w:t>
      </w:r>
    </w:p>
    <w:p w14:paraId="39C1929E" w14:textId="77777777" w:rsidR="00E90F6E" w:rsidRDefault="00E90F6E" w:rsidP="00E90F6E">
      <w:pPr>
        <w:jc w:val="both"/>
        <w:rPr>
          <w:rFonts w:ascii="Cambria" w:hAnsi="Cambria"/>
        </w:rPr>
      </w:pPr>
    </w:p>
    <w:p w14:paraId="391AC59E" w14:textId="192FEB41" w:rsidR="006529DB" w:rsidRPr="006529DB" w:rsidRDefault="006529DB" w:rsidP="00E90F6E">
      <w:pPr>
        <w:jc w:val="both"/>
        <w:rPr>
          <w:rFonts w:ascii="Cambria" w:hAnsi="Cambria"/>
          <w:b/>
          <w:bCs/>
          <w:lang w:val="de-DE"/>
        </w:rPr>
      </w:pPr>
      <w:r w:rsidRPr="006529DB">
        <w:rPr>
          <w:rFonts w:ascii="Cambria" w:hAnsi="Cambria"/>
          <w:b/>
          <w:bCs/>
          <w:lang w:val="de-DE"/>
        </w:rPr>
        <w:t xml:space="preserve">Abstract: </w:t>
      </w:r>
    </w:p>
    <w:p w14:paraId="215D4508" w14:textId="4B4A16E6" w:rsidR="00E90F6E" w:rsidRPr="00E90F6E" w:rsidRDefault="00E90F6E" w:rsidP="00E90F6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Decoding the code of duty: “Ring stage </w:t>
      </w:r>
      <w:r w:rsidRPr="00A342EB">
        <w:rPr>
          <w:b/>
          <w:bCs/>
          <w:i/>
          <w:iCs/>
          <w:lang w:val="en-US"/>
        </w:rPr>
        <w:t>Plasmodium falciparum</w:t>
      </w:r>
      <w:r>
        <w:rPr>
          <w:b/>
          <w:bCs/>
          <w:lang w:val="en-US"/>
        </w:rPr>
        <w:t xml:space="preserve"> alters m</w:t>
      </w:r>
      <w:r w:rsidRPr="005B1524">
        <w:rPr>
          <w:b/>
          <w:bCs/>
          <w:lang w:val="en-US"/>
        </w:rPr>
        <w:t>icro</w:t>
      </w:r>
      <w:r>
        <w:rPr>
          <w:b/>
          <w:bCs/>
          <w:lang w:val="en-US"/>
        </w:rPr>
        <w:t xml:space="preserve">RNA/mRNA </w:t>
      </w:r>
      <w:r w:rsidRPr="005B1524">
        <w:rPr>
          <w:b/>
          <w:bCs/>
          <w:lang w:val="en-US"/>
        </w:rPr>
        <w:t>of brain and lung endothe</w:t>
      </w:r>
      <w:r>
        <w:rPr>
          <w:b/>
          <w:bCs/>
          <w:lang w:val="en-US"/>
        </w:rPr>
        <w:t>lium”</w:t>
      </w:r>
    </w:p>
    <w:p w14:paraId="0D40C52F" w14:textId="77777777" w:rsidR="00E90F6E" w:rsidRDefault="00E90F6E" w:rsidP="00E90F6E">
      <w:pPr>
        <w:jc w:val="both"/>
        <w:rPr>
          <w:rFonts w:ascii="Cambria" w:hAnsi="Cambria"/>
        </w:rPr>
      </w:pPr>
    </w:p>
    <w:p w14:paraId="42AE392D" w14:textId="77777777" w:rsidR="00E90F6E" w:rsidRPr="00E90F6E" w:rsidRDefault="00E90F6E" w:rsidP="00E90F6E">
      <w:pPr>
        <w:pStyle w:val="MDPI13authornames"/>
        <w:jc w:val="both"/>
        <w:rPr>
          <w:rFonts w:asciiTheme="minorHAnsi" w:hAnsiTheme="minorHAnsi"/>
          <w:vertAlign w:val="superscript"/>
          <w:lang w:val="en-DE"/>
        </w:rPr>
      </w:pPr>
      <w:r w:rsidRPr="00E90F6E">
        <w:rPr>
          <w:rFonts w:asciiTheme="minorHAnsi" w:hAnsiTheme="minorHAnsi"/>
          <w:lang w:val="en-DE"/>
        </w:rPr>
        <w:t>Nahla Galal Metwally</w:t>
      </w:r>
      <w:r w:rsidRPr="00E90F6E">
        <w:rPr>
          <w:rFonts w:asciiTheme="minorHAnsi" w:hAnsiTheme="minorHAnsi"/>
          <w:vertAlign w:val="superscript"/>
          <w:lang w:val="en-DE"/>
        </w:rPr>
        <w:t>1,8</w:t>
      </w:r>
      <w:r w:rsidRPr="00E90F6E">
        <w:rPr>
          <w:rFonts w:asciiTheme="minorHAnsi" w:hAnsiTheme="minorHAnsi" w:cstheme="minorHAnsi"/>
          <w:vertAlign w:val="superscript"/>
          <w:lang w:val="en-DE"/>
        </w:rPr>
        <w:t>,</w:t>
      </w:r>
      <w:r w:rsidRPr="00E90F6E">
        <w:rPr>
          <w:rFonts w:asciiTheme="minorHAnsi" w:hAnsiTheme="minorHAnsi" w:cstheme="minorHAnsi"/>
          <w:lang w:val="en-DE"/>
        </w:rPr>
        <w:t>*</w:t>
      </w:r>
      <w:r w:rsidRPr="00E90F6E">
        <w:rPr>
          <w:rFonts w:asciiTheme="minorHAnsi" w:hAnsiTheme="minorHAnsi" w:cstheme="minorHAnsi"/>
          <w:vertAlign w:val="superscript"/>
          <w:lang w:val="en-DE"/>
        </w:rPr>
        <w:t>,</w:t>
      </w:r>
      <w:r w:rsidRPr="00C061E2">
        <w:rPr>
          <w:rFonts w:asciiTheme="minorHAnsi" w:hAnsiTheme="minorHAnsi"/>
          <w:bCs/>
          <w:sz w:val="18"/>
          <w:szCs w:val="20"/>
          <w:vertAlign w:val="superscript"/>
          <w:lang w:val="en-GB"/>
        </w:rPr>
        <w:sym w:font="Symbol" w:char="F0C4"/>
      </w:r>
      <w:r w:rsidRPr="00E90F6E">
        <w:rPr>
          <w:rFonts w:asciiTheme="minorHAnsi" w:hAnsiTheme="minorHAnsi"/>
          <w:lang w:val="en-DE"/>
        </w:rPr>
        <w:t>, Maria del Pilar Martinez Tauler</w:t>
      </w:r>
      <w:r w:rsidRPr="00E90F6E">
        <w:rPr>
          <w:rFonts w:asciiTheme="minorHAnsi" w:hAnsiTheme="minorHAnsi"/>
          <w:vertAlign w:val="superscript"/>
          <w:lang w:val="en-DE"/>
        </w:rPr>
        <w:t>1,</w:t>
      </w:r>
      <w:r w:rsidRPr="00C061E2">
        <w:rPr>
          <w:rFonts w:asciiTheme="minorHAnsi" w:hAnsiTheme="minorHAnsi"/>
          <w:sz w:val="18"/>
          <w:szCs w:val="20"/>
          <w:vertAlign w:val="superscript"/>
          <w:lang w:val="en-GB"/>
        </w:rPr>
        <w:sym w:font="Symbol" w:char="F0C4"/>
      </w:r>
      <w:r w:rsidRPr="00E90F6E">
        <w:rPr>
          <w:rFonts w:asciiTheme="minorHAnsi" w:hAnsiTheme="minorHAnsi"/>
          <w:lang w:val="en-DE"/>
        </w:rPr>
        <w:t>, Hanifeh Torabi</w:t>
      </w:r>
      <w:r w:rsidRPr="00E90F6E">
        <w:rPr>
          <w:rFonts w:asciiTheme="minorHAnsi" w:hAnsiTheme="minorHAnsi"/>
          <w:vertAlign w:val="superscript"/>
          <w:lang w:val="en-DE"/>
        </w:rPr>
        <w:t>1,</w:t>
      </w:r>
      <w:r w:rsidRPr="00FC4894">
        <w:rPr>
          <w:rFonts w:asciiTheme="minorHAnsi" w:hAnsiTheme="minorHAnsi"/>
          <w:sz w:val="18"/>
          <w:szCs w:val="20"/>
          <w:vertAlign w:val="superscript"/>
          <w:lang w:val="en-GB"/>
        </w:rPr>
        <w:sym w:font="Symbol" w:char="F0C4"/>
      </w:r>
      <w:r w:rsidRPr="00E90F6E">
        <w:rPr>
          <w:rFonts w:asciiTheme="minorHAnsi" w:hAnsiTheme="minorHAnsi"/>
          <w:lang w:val="en-DE"/>
        </w:rPr>
        <w:t>, Johannes Allweier</w:t>
      </w:r>
      <w:r w:rsidRPr="00FC4894">
        <w:rPr>
          <w:rFonts w:asciiTheme="minorHAnsi" w:hAnsiTheme="minorHAnsi"/>
          <w:bCs/>
          <w:sz w:val="18"/>
          <w:szCs w:val="20"/>
          <w:vertAlign w:val="superscript"/>
          <w:lang w:val="en-GB"/>
        </w:rPr>
        <w:sym w:font="Symbol" w:char="F0C4"/>
      </w:r>
      <w:r w:rsidRPr="00E90F6E">
        <w:rPr>
          <w:rFonts w:asciiTheme="minorHAnsi" w:hAnsiTheme="minorHAnsi"/>
          <w:lang w:val="en-DE"/>
        </w:rPr>
        <w:t>, Sara Mohamed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/>
          <w:lang w:val="en-DE"/>
        </w:rPr>
        <w:t>, Maryèva Bessemoulin</w:t>
      </w:r>
      <w:r w:rsidRPr="00E90F6E">
        <w:rPr>
          <w:rFonts w:asciiTheme="minorHAnsi" w:hAnsiTheme="minorHAnsi"/>
          <w:vertAlign w:val="superscript"/>
          <w:lang w:val="en-DE"/>
        </w:rPr>
        <w:t>1&amp;5</w:t>
      </w:r>
      <w:r w:rsidRPr="00E90F6E">
        <w:rPr>
          <w:rFonts w:asciiTheme="minorHAnsi" w:hAnsiTheme="minorHAnsi"/>
          <w:lang w:val="en-DE"/>
        </w:rPr>
        <w:t>, Philip Bouws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/>
          <w:lang w:val="en-DE"/>
        </w:rPr>
        <w:t>, Fatima Al Shaikh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/>
          <w:lang w:val="en-DE"/>
        </w:rPr>
        <w:t>, Yifan Wu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/>
          <w:lang w:val="en-DE"/>
        </w:rPr>
        <w:t>, Milad Temori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/>
          <w:lang w:val="en-DE"/>
        </w:rPr>
        <w:t>,  Tabea Schell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/>
          <w:lang w:val="en-DE"/>
        </w:rPr>
        <w:t>, Maximillian Rakotonerinalalao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/>
          <w:lang w:val="en-DE"/>
        </w:rPr>
        <w:t>, Katharina Höhn</w:t>
      </w:r>
      <w:r w:rsidRPr="00E90F6E">
        <w:rPr>
          <w:rFonts w:asciiTheme="minorHAnsi" w:hAnsiTheme="minorHAnsi"/>
          <w:vertAlign w:val="superscript"/>
          <w:lang w:val="en-DE"/>
        </w:rPr>
        <w:t>2</w:t>
      </w:r>
      <w:r w:rsidRPr="00E90F6E">
        <w:rPr>
          <w:rFonts w:asciiTheme="minorHAnsi" w:hAnsiTheme="minorHAnsi"/>
          <w:lang w:val="en-DE"/>
        </w:rPr>
        <w:t>, Dániel Cadar</w:t>
      </w:r>
      <w:r w:rsidRPr="00E90F6E">
        <w:rPr>
          <w:rFonts w:asciiTheme="minorHAnsi" w:hAnsiTheme="minorHAnsi"/>
          <w:vertAlign w:val="superscript"/>
          <w:lang w:val="en-DE"/>
        </w:rPr>
        <w:t>3</w:t>
      </w:r>
      <w:r w:rsidRPr="00E90F6E">
        <w:rPr>
          <w:rFonts w:asciiTheme="minorHAnsi" w:hAnsiTheme="minorHAnsi"/>
          <w:lang w:val="en-DE"/>
        </w:rPr>
        <w:t>, Thomas Jacobs</w:t>
      </w:r>
      <w:r w:rsidRPr="00E90F6E">
        <w:rPr>
          <w:rFonts w:asciiTheme="minorHAnsi" w:hAnsiTheme="minorHAnsi"/>
          <w:vertAlign w:val="superscript"/>
          <w:lang w:val="en-DE"/>
        </w:rPr>
        <w:t>4</w:t>
      </w:r>
      <w:r w:rsidRPr="00E90F6E">
        <w:rPr>
          <w:rFonts w:asciiTheme="minorHAnsi" w:hAnsiTheme="minorHAnsi"/>
          <w:lang w:val="en-DE"/>
        </w:rPr>
        <w:t>,</w:t>
      </w:r>
      <w:r w:rsidRPr="00E90F6E">
        <w:rPr>
          <w:rFonts w:asciiTheme="minorHAnsi" w:hAnsiTheme="minorHAnsi"/>
          <w:vertAlign w:val="superscript"/>
          <w:lang w:val="en-DE"/>
        </w:rPr>
        <w:t xml:space="preserve"> </w:t>
      </w:r>
      <w:r w:rsidRPr="00E90F6E">
        <w:rPr>
          <w:rFonts w:asciiTheme="minorHAnsi" w:hAnsiTheme="minorHAnsi"/>
          <w:lang w:val="en-DE"/>
        </w:rPr>
        <w:t>Holger Heine</w:t>
      </w:r>
      <w:r w:rsidRPr="00E90F6E">
        <w:rPr>
          <w:rFonts w:asciiTheme="minorHAnsi" w:hAnsiTheme="minorHAnsi"/>
          <w:vertAlign w:val="superscript"/>
          <w:lang w:val="en-DE"/>
        </w:rPr>
        <w:t>6</w:t>
      </w:r>
      <w:r w:rsidRPr="00E90F6E">
        <w:rPr>
          <w:rFonts w:asciiTheme="minorHAnsi" w:hAnsiTheme="minorHAnsi"/>
          <w:lang w:val="en-DE"/>
        </w:rPr>
        <w:t xml:space="preserve"> and Iris Bruchhaus</w:t>
      </w:r>
      <w:r w:rsidRPr="00E90F6E">
        <w:rPr>
          <w:rFonts w:asciiTheme="minorHAnsi" w:hAnsiTheme="minorHAnsi"/>
          <w:vertAlign w:val="superscript"/>
          <w:lang w:val="en-DE"/>
        </w:rPr>
        <w:t>1</w:t>
      </w:r>
      <w:r w:rsidRPr="00E90F6E">
        <w:rPr>
          <w:rFonts w:asciiTheme="minorHAnsi" w:hAnsiTheme="minorHAnsi" w:cstheme="minorHAnsi"/>
          <w:vertAlign w:val="superscript"/>
          <w:lang w:val="en-DE"/>
        </w:rPr>
        <w:t>&amp;</w:t>
      </w:r>
      <w:r w:rsidRPr="00E90F6E">
        <w:rPr>
          <w:rFonts w:asciiTheme="minorHAnsi" w:hAnsiTheme="minorHAnsi"/>
          <w:vertAlign w:val="superscript"/>
          <w:lang w:val="en-DE"/>
        </w:rPr>
        <w:t>7</w:t>
      </w:r>
    </w:p>
    <w:p w14:paraId="30D4495E" w14:textId="77777777" w:rsidR="00E90F6E" w:rsidRDefault="00E90F6E" w:rsidP="00E90F6E">
      <w:pPr>
        <w:pStyle w:val="MDPI16affiliation"/>
        <w:spacing w:line="276" w:lineRule="auto"/>
        <w:ind w:left="0" w:firstLine="0"/>
        <w:jc w:val="both"/>
        <w:rPr>
          <w:rFonts w:asciiTheme="minorHAnsi" w:hAnsiTheme="minorHAnsi"/>
          <w:sz w:val="18"/>
          <w:lang w:val="en-GB"/>
        </w:rPr>
      </w:pPr>
      <w:r w:rsidRPr="006E2CA2">
        <w:rPr>
          <w:rFonts w:asciiTheme="minorHAnsi" w:hAnsiTheme="minorHAnsi"/>
          <w:vertAlign w:val="superscript"/>
          <w:lang w:val="en-GB"/>
        </w:rPr>
        <w:t xml:space="preserve">1 </w:t>
      </w:r>
      <w:r w:rsidRPr="006E2CA2">
        <w:rPr>
          <w:rFonts w:asciiTheme="minorHAnsi" w:hAnsiTheme="minorHAnsi"/>
          <w:sz w:val="18"/>
          <w:lang w:val="en-GB"/>
        </w:rPr>
        <w:t xml:space="preserve">Research group Host Parasite Interaction, </w:t>
      </w:r>
      <w:r w:rsidRPr="006E2CA2">
        <w:rPr>
          <w:rFonts w:asciiTheme="minorHAnsi" w:hAnsiTheme="minorHAnsi"/>
          <w:sz w:val="18"/>
          <w:vertAlign w:val="superscript"/>
          <w:lang w:val="en-GB"/>
        </w:rPr>
        <w:t>2</w:t>
      </w:r>
      <w:r w:rsidRPr="006E2CA2">
        <w:rPr>
          <w:rFonts w:asciiTheme="minorHAnsi" w:hAnsiTheme="minorHAnsi"/>
          <w:sz w:val="18"/>
          <w:lang w:val="en-GB"/>
        </w:rPr>
        <w:t xml:space="preserve">Cellular Parasitology Department, </w:t>
      </w:r>
      <w:r>
        <w:rPr>
          <w:rFonts w:asciiTheme="minorHAnsi" w:hAnsiTheme="minorHAnsi"/>
          <w:sz w:val="18"/>
          <w:vertAlign w:val="superscript"/>
          <w:lang w:val="en-GB"/>
        </w:rPr>
        <w:t>3</w:t>
      </w:r>
      <w:r w:rsidRPr="006E2CA2">
        <w:rPr>
          <w:rFonts w:asciiTheme="minorHAnsi" w:hAnsiTheme="minorHAnsi"/>
          <w:sz w:val="18"/>
          <w:vertAlign w:val="superscript"/>
          <w:lang w:val="en-GB"/>
        </w:rPr>
        <w:t xml:space="preserve"> </w:t>
      </w:r>
      <w:proofErr w:type="spellStart"/>
      <w:r w:rsidRPr="006E2CA2">
        <w:rPr>
          <w:rFonts w:asciiTheme="minorHAnsi" w:hAnsiTheme="minorHAnsi"/>
          <w:sz w:val="18"/>
          <w:lang w:val="en-GB"/>
        </w:rPr>
        <w:t>Arbovirology</w:t>
      </w:r>
      <w:proofErr w:type="spellEnd"/>
      <w:r w:rsidRPr="006E2CA2">
        <w:rPr>
          <w:rFonts w:asciiTheme="minorHAnsi" w:hAnsiTheme="minorHAnsi"/>
          <w:sz w:val="18"/>
          <w:lang w:val="en-GB"/>
        </w:rPr>
        <w:t xml:space="preserve"> Department</w:t>
      </w:r>
      <w:r>
        <w:rPr>
          <w:rFonts w:asciiTheme="minorHAnsi" w:hAnsiTheme="minorHAnsi" w:cstheme="minorHAnsi"/>
          <w:sz w:val="18"/>
        </w:rPr>
        <w:t>,</w:t>
      </w:r>
      <w:r w:rsidRPr="006E2CA2">
        <w:rPr>
          <w:rFonts w:asciiTheme="minorHAnsi" w:hAnsiTheme="minorHAnsi"/>
          <w:sz w:val="18"/>
          <w:lang w:val="en-GB"/>
        </w:rPr>
        <w:t xml:space="preserve"> </w:t>
      </w:r>
      <w:r>
        <w:rPr>
          <w:rFonts w:asciiTheme="minorHAnsi" w:hAnsiTheme="minorHAnsi"/>
          <w:sz w:val="18"/>
          <w:vertAlign w:val="superscript"/>
          <w:lang w:val="en-GB"/>
        </w:rPr>
        <w:t xml:space="preserve">4 </w:t>
      </w:r>
      <w:r w:rsidRPr="006E2CA2">
        <w:rPr>
          <w:rFonts w:asciiTheme="minorHAnsi" w:hAnsiTheme="minorHAnsi"/>
          <w:sz w:val="18"/>
          <w:lang w:val="en-GB"/>
        </w:rPr>
        <w:t>Research group Protozoa Immunology</w:t>
      </w:r>
      <w:r>
        <w:rPr>
          <w:rFonts w:asciiTheme="minorHAnsi" w:hAnsiTheme="minorHAnsi"/>
          <w:sz w:val="18"/>
          <w:lang w:val="en-GB"/>
        </w:rPr>
        <w:t xml:space="preserve">, </w:t>
      </w:r>
      <w:r w:rsidRPr="006E2CA2">
        <w:rPr>
          <w:rFonts w:asciiTheme="minorHAnsi" w:hAnsiTheme="minorHAnsi"/>
          <w:sz w:val="18"/>
          <w:lang w:val="en-GB"/>
        </w:rPr>
        <w:t xml:space="preserve">Bernhard </w:t>
      </w:r>
      <w:proofErr w:type="spellStart"/>
      <w:r w:rsidRPr="006E2CA2">
        <w:rPr>
          <w:rFonts w:asciiTheme="minorHAnsi" w:hAnsiTheme="minorHAnsi"/>
          <w:sz w:val="18"/>
          <w:lang w:val="en-GB"/>
        </w:rPr>
        <w:t>Nocht</w:t>
      </w:r>
      <w:proofErr w:type="spellEnd"/>
      <w:r>
        <w:rPr>
          <w:rFonts w:asciiTheme="minorHAnsi" w:hAnsiTheme="minorHAnsi"/>
          <w:sz w:val="18"/>
          <w:lang w:val="en-GB"/>
        </w:rPr>
        <w:t xml:space="preserve"> </w:t>
      </w:r>
      <w:r w:rsidRPr="006E2CA2">
        <w:rPr>
          <w:rFonts w:asciiTheme="minorHAnsi" w:hAnsiTheme="minorHAnsi"/>
          <w:sz w:val="18"/>
          <w:lang w:val="en-GB"/>
        </w:rPr>
        <w:t>Institute for Tropical Medicine, Hamburg, Germany</w:t>
      </w:r>
      <w:r w:rsidRPr="00636A50">
        <w:rPr>
          <w:rFonts w:asciiTheme="minorHAnsi" w:hAnsiTheme="minorHAnsi" w:cstheme="minorHAnsi"/>
          <w:sz w:val="18"/>
          <w:lang w:val="en-GB"/>
        </w:rPr>
        <w:t>.</w:t>
      </w:r>
      <w:r>
        <w:rPr>
          <w:rFonts w:asciiTheme="minorHAnsi" w:hAnsiTheme="minorHAnsi" w:cstheme="minorHAnsi"/>
          <w:sz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vertAlign w:val="superscript"/>
          <w:lang w:val="en-GB"/>
        </w:rPr>
        <w:t>5</w:t>
      </w:r>
      <w:r>
        <w:rPr>
          <w:rFonts w:asciiTheme="minorHAnsi" w:hAnsiTheme="minorHAnsi" w:cstheme="minorHAnsi"/>
          <w:sz w:val="18"/>
          <w:lang w:val="en-GB"/>
        </w:rPr>
        <w:t>University of Strasbourg and CNRS, Strasbourg, France</w:t>
      </w:r>
      <w:r>
        <w:rPr>
          <w:rFonts w:asciiTheme="minorHAnsi" w:hAnsiTheme="minorHAnsi"/>
          <w:sz w:val="18"/>
          <w:lang w:val="en-GB"/>
        </w:rPr>
        <w:t xml:space="preserve">, </w:t>
      </w:r>
      <w:r>
        <w:rPr>
          <w:rFonts w:asciiTheme="minorHAnsi" w:hAnsiTheme="minorHAnsi"/>
          <w:sz w:val="18"/>
          <w:vertAlign w:val="superscript"/>
          <w:lang w:val="en-GB"/>
        </w:rPr>
        <w:t>6</w:t>
      </w:r>
      <w:r w:rsidRPr="002B551E">
        <w:rPr>
          <w:rFonts w:asciiTheme="minorHAnsi" w:hAnsiTheme="minorHAnsi"/>
          <w:sz w:val="18"/>
          <w:lang w:val="en-GB"/>
        </w:rPr>
        <w:t>Research</w:t>
      </w:r>
      <w:r>
        <w:rPr>
          <w:rFonts w:asciiTheme="minorHAnsi" w:hAnsiTheme="minorHAnsi"/>
          <w:sz w:val="18"/>
          <w:lang w:val="en-GB"/>
        </w:rPr>
        <w:t xml:space="preserve"> </w:t>
      </w:r>
      <w:proofErr w:type="spellStart"/>
      <w:r w:rsidRPr="002B551E">
        <w:rPr>
          <w:rFonts w:asciiTheme="minorHAnsi" w:hAnsiTheme="minorHAnsi"/>
          <w:sz w:val="18"/>
          <w:lang w:val="en-GB"/>
        </w:rPr>
        <w:t>Center</w:t>
      </w:r>
      <w:proofErr w:type="spellEnd"/>
      <w:r w:rsidRPr="002B551E">
        <w:rPr>
          <w:rFonts w:asciiTheme="minorHAnsi" w:hAnsiTheme="minorHAnsi"/>
          <w:sz w:val="18"/>
          <w:lang w:val="en-GB"/>
        </w:rPr>
        <w:t xml:space="preserve"> </w:t>
      </w:r>
      <w:proofErr w:type="spellStart"/>
      <w:r w:rsidRPr="002B551E">
        <w:rPr>
          <w:rFonts w:asciiTheme="minorHAnsi" w:hAnsiTheme="minorHAnsi"/>
          <w:sz w:val="18"/>
          <w:lang w:val="en-GB"/>
        </w:rPr>
        <w:t>Borstel</w:t>
      </w:r>
      <w:proofErr w:type="spellEnd"/>
      <w:r w:rsidRPr="002B551E">
        <w:rPr>
          <w:rFonts w:asciiTheme="minorHAnsi" w:hAnsiTheme="minorHAnsi"/>
          <w:sz w:val="18"/>
          <w:lang w:val="en-GB"/>
        </w:rPr>
        <w:t xml:space="preserve">, Leibniz Lung </w:t>
      </w:r>
      <w:proofErr w:type="spellStart"/>
      <w:r w:rsidRPr="002B551E">
        <w:rPr>
          <w:rFonts w:asciiTheme="minorHAnsi" w:hAnsiTheme="minorHAnsi"/>
          <w:sz w:val="18"/>
          <w:lang w:val="en-GB"/>
        </w:rPr>
        <w:t>Center</w:t>
      </w:r>
      <w:proofErr w:type="spellEnd"/>
      <w:r>
        <w:rPr>
          <w:rFonts w:asciiTheme="minorHAnsi" w:hAnsiTheme="minorHAnsi"/>
          <w:sz w:val="18"/>
          <w:lang w:val="en-GB"/>
        </w:rPr>
        <w:t xml:space="preserve">, </w:t>
      </w:r>
      <w:proofErr w:type="spellStart"/>
      <w:r>
        <w:rPr>
          <w:rFonts w:asciiTheme="minorHAnsi" w:hAnsiTheme="minorHAnsi"/>
          <w:sz w:val="18"/>
          <w:lang w:val="en-GB"/>
        </w:rPr>
        <w:t>Borstel</w:t>
      </w:r>
      <w:proofErr w:type="spellEnd"/>
      <w:r>
        <w:rPr>
          <w:rFonts w:asciiTheme="minorHAnsi" w:hAnsiTheme="minorHAnsi"/>
          <w:sz w:val="18"/>
          <w:lang w:val="en-GB"/>
        </w:rPr>
        <w:t xml:space="preserve">, Germany, </w:t>
      </w:r>
      <w:r>
        <w:rPr>
          <w:rFonts w:asciiTheme="minorHAnsi" w:hAnsiTheme="minorHAnsi"/>
          <w:sz w:val="18"/>
          <w:vertAlign w:val="superscript"/>
          <w:lang w:val="en-GB"/>
        </w:rPr>
        <w:t>7</w:t>
      </w:r>
      <w:r w:rsidRPr="006E2CA2">
        <w:rPr>
          <w:rFonts w:asciiTheme="minorHAnsi" w:hAnsiTheme="minorHAnsi"/>
          <w:sz w:val="18"/>
          <w:vertAlign w:val="superscript"/>
          <w:lang w:val="en-GB"/>
        </w:rPr>
        <w:t xml:space="preserve"> </w:t>
      </w:r>
      <w:r w:rsidRPr="009F3C34">
        <w:rPr>
          <w:rFonts w:asciiTheme="minorHAnsi" w:hAnsiTheme="minorHAnsi"/>
          <w:sz w:val="18"/>
          <w:lang w:val="en-GB"/>
        </w:rPr>
        <w:t xml:space="preserve">Biology </w:t>
      </w:r>
      <w:r>
        <w:rPr>
          <w:rFonts w:asciiTheme="minorHAnsi" w:hAnsiTheme="minorHAnsi"/>
          <w:sz w:val="18"/>
          <w:lang w:val="en-GB"/>
        </w:rPr>
        <w:t>D</w:t>
      </w:r>
      <w:r w:rsidRPr="009F3C34">
        <w:rPr>
          <w:rFonts w:asciiTheme="minorHAnsi" w:hAnsiTheme="minorHAnsi"/>
          <w:sz w:val="18"/>
          <w:lang w:val="en-GB"/>
        </w:rPr>
        <w:t>epartment University of</w:t>
      </w:r>
      <w:r>
        <w:rPr>
          <w:rFonts w:asciiTheme="minorHAnsi" w:hAnsiTheme="minorHAnsi"/>
          <w:sz w:val="18"/>
          <w:vertAlign w:val="superscript"/>
          <w:lang w:val="en-GB"/>
        </w:rPr>
        <w:t xml:space="preserve"> </w:t>
      </w:r>
      <w:r w:rsidRPr="006E2CA2">
        <w:rPr>
          <w:rFonts w:asciiTheme="minorHAnsi" w:hAnsiTheme="minorHAnsi"/>
          <w:sz w:val="18"/>
          <w:lang w:val="en-GB"/>
        </w:rPr>
        <w:t>Hamburg, Hamburg, Germany</w:t>
      </w:r>
    </w:p>
    <w:p w14:paraId="5B0F62B4" w14:textId="77777777" w:rsidR="00E90F6E" w:rsidRDefault="00E90F6E" w:rsidP="00E90F6E">
      <w:pPr>
        <w:pStyle w:val="MDPI16affiliation"/>
        <w:spacing w:line="276" w:lineRule="auto"/>
        <w:ind w:left="0" w:firstLine="0"/>
        <w:jc w:val="both"/>
        <w:rPr>
          <w:rFonts w:asciiTheme="minorHAnsi" w:hAnsiTheme="minorHAnsi"/>
          <w:sz w:val="18"/>
          <w:lang w:val="en-GB"/>
        </w:rPr>
      </w:pPr>
      <w:r>
        <w:rPr>
          <w:rFonts w:asciiTheme="minorHAnsi" w:hAnsiTheme="minorHAnsi"/>
          <w:sz w:val="18"/>
          <w:vertAlign w:val="superscript"/>
          <w:lang w:val="en-GB"/>
        </w:rPr>
        <w:t>8</w:t>
      </w:r>
      <w:r w:rsidRPr="00DA60F0">
        <w:rPr>
          <w:rFonts w:asciiTheme="minorHAnsi" w:hAnsiTheme="minorHAnsi"/>
          <w:sz w:val="18"/>
          <w:lang w:val="en-GB"/>
        </w:rPr>
        <w:t xml:space="preserve">Lead </w:t>
      </w:r>
      <w:r>
        <w:rPr>
          <w:rFonts w:asciiTheme="minorHAnsi" w:hAnsiTheme="minorHAnsi"/>
          <w:sz w:val="18"/>
          <w:lang w:val="en-GB"/>
        </w:rPr>
        <w:t>author</w:t>
      </w:r>
    </w:p>
    <w:p w14:paraId="784A7F22" w14:textId="77777777" w:rsidR="00E90F6E" w:rsidRDefault="00E90F6E" w:rsidP="00E90F6E">
      <w:pPr>
        <w:pStyle w:val="MDPI16affiliation"/>
        <w:spacing w:line="276" w:lineRule="auto"/>
        <w:ind w:left="0" w:firstLine="0"/>
        <w:jc w:val="both"/>
        <w:rPr>
          <w:rFonts w:asciiTheme="minorHAnsi" w:hAnsiTheme="minorHAnsi"/>
          <w:sz w:val="18"/>
          <w:lang w:val="en-GB"/>
        </w:rPr>
      </w:pPr>
      <w:r w:rsidRPr="00636A50">
        <w:rPr>
          <w:rFonts w:asciiTheme="minorHAnsi" w:hAnsiTheme="minorHAnsi" w:cstheme="minorHAnsi"/>
          <w:lang w:val="en-GB"/>
        </w:rPr>
        <w:t>*</w:t>
      </w:r>
      <w:r>
        <w:rPr>
          <w:rFonts w:asciiTheme="minorHAnsi" w:hAnsiTheme="minorHAnsi"/>
          <w:sz w:val="18"/>
          <w:lang w:val="en-GB"/>
        </w:rPr>
        <w:t>Correspondence</w:t>
      </w:r>
    </w:p>
    <w:p w14:paraId="5CFC4332" w14:textId="77777777" w:rsidR="00E90F6E" w:rsidRDefault="00E90F6E" w:rsidP="00E90F6E">
      <w:pPr>
        <w:pStyle w:val="MDPI16affiliation"/>
        <w:spacing w:line="276" w:lineRule="auto"/>
        <w:ind w:left="0" w:firstLine="0"/>
        <w:jc w:val="both"/>
        <w:rPr>
          <w:rFonts w:asciiTheme="minorHAnsi" w:hAnsiTheme="minorHAnsi"/>
          <w:sz w:val="18"/>
          <w:lang w:val="en-GB"/>
        </w:rPr>
      </w:pPr>
      <w:r w:rsidRPr="00C061E2">
        <w:rPr>
          <w:rFonts w:asciiTheme="minorHAnsi" w:hAnsiTheme="minorHAnsi"/>
          <w:bCs/>
          <w:sz w:val="18"/>
          <w:szCs w:val="20"/>
          <w:vertAlign w:val="superscript"/>
          <w:lang w:val="en-GB"/>
        </w:rPr>
        <w:sym w:font="Symbol" w:char="F0C4"/>
      </w:r>
      <w:r>
        <w:rPr>
          <w:rFonts w:asciiTheme="minorHAnsi" w:hAnsiTheme="minorHAnsi"/>
          <w:sz w:val="18"/>
          <w:lang w:val="en-GB"/>
        </w:rPr>
        <w:t>These authors contributed equally</w:t>
      </w:r>
    </w:p>
    <w:p w14:paraId="54AABB24" w14:textId="77777777" w:rsidR="00E90F6E" w:rsidRPr="00DA60F0" w:rsidRDefault="00E90F6E" w:rsidP="00E90F6E">
      <w:pPr>
        <w:pStyle w:val="MDPI16affiliation"/>
        <w:spacing w:line="276" w:lineRule="auto"/>
        <w:ind w:left="0" w:firstLine="0"/>
        <w:jc w:val="both"/>
        <w:rPr>
          <w:rFonts w:asciiTheme="minorHAnsi" w:hAnsiTheme="minorHAnsi"/>
          <w:sz w:val="18"/>
          <w:lang w:val="en-GB"/>
        </w:rPr>
      </w:pPr>
    </w:p>
    <w:p w14:paraId="34DA3616" w14:textId="3F8B6D66" w:rsidR="00E90F6E" w:rsidRDefault="00E90F6E" w:rsidP="00E90F6E">
      <w:pPr>
        <w:jc w:val="both"/>
        <w:rPr>
          <w:rFonts w:cstheme="minorHAnsi"/>
          <w:sz w:val="24"/>
          <w:szCs w:val="24"/>
          <w:lang w:val="en-US" w:eastAsia="de-DE" w:bidi="en-US"/>
        </w:rPr>
      </w:pPr>
      <w:r w:rsidRPr="00C50261">
        <w:rPr>
          <w:rFonts w:cstheme="minorHAnsi"/>
          <w:sz w:val="24"/>
          <w:szCs w:val="24"/>
          <w:lang w:val="en-US" w:eastAsia="de-DE" w:bidi="en-US"/>
        </w:rPr>
        <w:t>Malaria infection is known to severely compromise endothelial cells</w:t>
      </w:r>
      <w:r>
        <w:rPr>
          <w:rFonts w:cstheme="minorHAnsi"/>
          <w:sz w:val="24"/>
          <w:szCs w:val="24"/>
          <w:lang w:val="en-US" w:eastAsia="de-DE" w:bidi="en-US"/>
        </w:rPr>
        <w:t xml:space="preserve"> </w:t>
      </w:r>
      <w:r w:rsidRPr="00C50261">
        <w:rPr>
          <w:rFonts w:cstheme="minorHAnsi"/>
          <w:sz w:val="24"/>
          <w:szCs w:val="24"/>
          <w:lang w:val="en-US" w:eastAsia="de-DE" w:bidi="en-US"/>
        </w:rPr>
        <w:t>(EC). The pathogenic consequences of</w:t>
      </w:r>
      <w:r>
        <w:rPr>
          <w:rFonts w:cstheme="minorHAnsi"/>
          <w:sz w:val="24"/>
          <w:szCs w:val="24"/>
          <w:lang w:val="en-US" w:eastAsia="de-DE" w:bidi="en-US"/>
        </w:rPr>
        <w:t xml:space="preserve"> ECs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activation </w:t>
      </w:r>
      <w:r>
        <w:rPr>
          <w:rFonts w:cstheme="minorHAnsi"/>
          <w:sz w:val="24"/>
          <w:szCs w:val="24"/>
          <w:lang w:val="en-US" w:eastAsia="de-DE" w:bidi="en-US"/>
        </w:rPr>
        <w:t xml:space="preserve">might 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lead to organ failure and death. </w:t>
      </w:r>
      <w:r>
        <w:rPr>
          <w:rFonts w:cstheme="minorHAnsi"/>
          <w:sz w:val="24"/>
          <w:szCs w:val="24"/>
          <w:lang w:val="en-US" w:eastAsia="de-DE" w:bidi="en-US"/>
        </w:rPr>
        <w:t>T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he organ-specific response of the endothelium has not been described in detail. It is not known whether microRNAs play a specific role in the complications of severe malaria, although microRNAs control 60% of the genes expressed in the human body. </w:t>
      </w:r>
    </w:p>
    <w:p w14:paraId="3259B3F3" w14:textId="1BA127AB" w:rsidR="00E90F6E" w:rsidRDefault="00E90F6E" w:rsidP="00E90F6E">
      <w:pPr>
        <w:jc w:val="both"/>
        <w:rPr>
          <w:rFonts w:cstheme="minorHAnsi"/>
          <w:sz w:val="24"/>
          <w:szCs w:val="24"/>
          <w:lang w:val="en-US" w:eastAsia="de-DE" w:bidi="en-US"/>
        </w:rPr>
      </w:pPr>
      <w:r w:rsidRPr="00C50261">
        <w:rPr>
          <w:rFonts w:cstheme="minorHAnsi"/>
          <w:sz w:val="24"/>
          <w:szCs w:val="24"/>
          <w:lang w:val="en-US" w:eastAsia="de-DE" w:bidi="en-US"/>
        </w:rPr>
        <w:t>In this study, we report microRNA</w:t>
      </w:r>
      <w:r>
        <w:rPr>
          <w:rFonts w:cstheme="minorHAnsi"/>
          <w:sz w:val="24"/>
          <w:szCs w:val="24"/>
          <w:lang w:val="en-US" w:eastAsia="de-DE" w:bidi="en-US"/>
        </w:rPr>
        <w:t xml:space="preserve"> candidates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that are specifically expressed in bot</w:t>
      </w:r>
      <w:r>
        <w:rPr>
          <w:rFonts w:cstheme="minorHAnsi"/>
          <w:sz w:val="24"/>
          <w:szCs w:val="24"/>
          <w:lang w:val="en-US" w:eastAsia="de-DE" w:bidi="en-US"/>
        </w:rPr>
        <w:t>h ECs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types and their secreted extracellular </w:t>
      </w:r>
      <w:proofErr w:type="spellStart"/>
      <w:r w:rsidRPr="00C50261">
        <w:rPr>
          <w:rFonts w:cstheme="minorHAnsi"/>
          <w:sz w:val="24"/>
          <w:szCs w:val="24"/>
          <w:lang w:val="en-US" w:eastAsia="de-DE" w:bidi="en-US"/>
        </w:rPr>
        <w:t>vesicles</w:t>
      </w:r>
      <w:proofErr w:type="spellEnd"/>
      <w:r>
        <w:rPr>
          <w:rFonts w:cstheme="minorHAnsi"/>
          <w:sz w:val="24"/>
          <w:szCs w:val="24"/>
          <w:lang w:val="en-US" w:eastAsia="de-DE" w:bidi="en-US"/>
        </w:rPr>
        <w:t xml:space="preserve"> (EVs)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. We were able to show that shear stress plays a role in the switching on of variable signaling pathways in brain ECs, such as IL-8 signaling and tight junctions. </w:t>
      </w:r>
      <w:r>
        <w:rPr>
          <w:rFonts w:cstheme="minorHAnsi"/>
          <w:sz w:val="24"/>
          <w:szCs w:val="24"/>
          <w:lang w:val="en-US" w:eastAsia="de-DE" w:bidi="en-US"/>
        </w:rPr>
        <w:t>S</w:t>
      </w:r>
      <w:r w:rsidRPr="00C50261">
        <w:rPr>
          <w:rFonts w:cstheme="minorHAnsi"/>
          <w:sz w:val="24"/>
          <w:szCs w:val="24"/>
          <w:lang w:val="en-US" w:eastAsia="de-DE" w:bidi="en-US"/>
        </w:rPr>
        <w:t>pecific miRNAs</w:t>
      </w:r>
      <w:r>
        <w:rPr>
          <w:rFonts w:cstheme="minorHAnsi"/>
          <w:sz w:val="24"/>
          <w:szCs w:val="24"/>
          <w:lang w:val="en-US" w:eastAsia="de-DE" w:bidi="en-US"/>
        </w:rPr>
        <w:t xml:space="preserve"> that we found to be differentially expressed in the ECs seem to control these pathways</w:t>
      </w:r>
      <w:r w:rsidRPr="00C50261">
        <w:rPr>
          <w:rFonts w:cstheme="minorHAnsi"/>
          <w:sz w:val="24"/>
          <w:szCs w:val="24"/>
          <w:lang w:val="en-US" w:eastAsia="de-DE" w:bidi="en-US"/>
        </w:rPr>
        <w:t>. Incubation with ring stage</w:t>
      </w:r>
      <w:r>
        <w:rPr>
          <w:rFonts w:cstheme="minorHAnsi"/>
          <w:sz w:val="24"/>
          <w:szCs w:val="24"/>
          <w:lang w:val="en-US" w:eastAsia="de-DE" w:bidi="en-US"/>
        </w:rPr>
        <w:t xml:space="preserve"> infected red blood cells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</w:t>
      </w:r>
      <w:r>
        <w:rPr>
          <w:rFonts w:cstheme="minorHAnsi"/>
          <w:sz w:val="24"/>
          <w:szCs w:val="24"/>
          <w:lang w:val="en-US" w:eastAsia="de-DE" w:bidi="en-US"/>
        </w:rPr>
        <w:t>(</w:t>
      </w:r>
      <w:proofErr w:type="spellStart"/>
      <w:r>
        <w:rPr>
          <w:rFonts w:cstheme="minorHAnsi"/>
          <w:sz w:val="24"/>
          <w:szCs w:val="24"/>
          <w:lang w:val="en-US" w:eastAsia="de-DE" w:bidi="en-US"/>
        </w:rPr>
        <w:t>iRBCs</w:t>
      </w:r>
      <w:proofErr w:type="spellEnd"/>
      <w:r>
        <w:rPr>
          <w:rFonts w:cstheme="minorHAnsi"/>
          <w:sz w:val="24"/>
          <w:szCs w:val="24"/>
          <w:lang w:val="en-US" w:eastAsia="de-DE" w:bidi="en-US"/>
        </w:rPr>
        <w:t>)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results in activation of endocytic pathways in brain </w:t>
      </w:r>
      <w:r>
        <w:rPr>
          <w:rFonts w:cstheme="minorHAnsi"/>
          <w:sz w:val="24"/>
          <w:szCs w:val="24"/>
          <w:lang w:val="en-US" w:eastAsia="de-DE" w:bidi="en-US"/>
        </w:rPr>
        <w:t>EC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s. In contrast, in lung cells, the most prominent </w:t>
      </w:r>
      <w:r>
        <w:rPr>
          <w:rFonts w:cstheme="minorHAnsi"/>
          <w:sz w:val="24"/>
          <w:szCs w:val="24"/>
          <w:lang w:val="en-US" w:eastAsia="de-DE" w:bidi="en-US"/>
        </w:rPr>
        <w:t xml:space="preserve">activated </w:t>
      </w:r>
      <w:r w:rsidRPr="00C50261">
        <w:rPr>
          <w:rFonts w:cstheme="minorHAnsi"/>
          <w:sz w:val="24"/>
          <w:szCs w:val="24"/>
          <w:lang w:val="en-US" w:eastAsia="de-DE" w:bidi="en-US"/>
        </w:rPr>
        <w:t>pathway was the electron transport pathway</w:t>
      </w:r>
      <w:r>
        <w:rPr>
          <w:rFonts w:cstheme="minorHAnsi"/>
          <w:sz w:val="24"/>
          <w:szCs w:val="24"/>
          <w:lang w:val="en-US" w:eastAsia="de-DE" w:bidi="en-US"/>
        </w:rPr>
        <w:t xml:space="preserve"> which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</w:t>
      </w:r>
      <w:r>
        <w:rPr>
          <w:rFonts w:cstheme="minorHAnsi"/>
          <w:sz w:val="24"/>
          <w:szCs w:val="24"/>
          <w:lang w:val="en-US" w:eastAsia="de-DE" w:bidi="en-US"/>
        </w:rPr>
        <w:t>was found to be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activated </w:t>
      </w:r>
      <w:r>
        <w:rPr>
          <w:rFonts w:cstheme="minorHAnsi"/>
          <w:sz w:val="24"/>
          <w:szCs w:val="24"/>
          <w:lang w:val="en-US" w:eastAsia="de-DE" w:bidi="en-US"/>
        </w:rPr>
        <w:t>in immune cells during inflammation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. Data analysis showed that endocytosis and electron transport pathways were targeted by some miRNA candidates. These miRNAs were significantly altered after 8 hours of coincubation with ring stage </w:t>
      </w:r>
      <w:proofErr w:type="spellStart"/>
      <w:r w:rsidRPr="00C50261">
        <w:rPr>
          <w:rFonts w:cstheme="minorHAnsi"/>
          <w:sz w:val="24"/>
          <w:szCs w:val="24"/>
          <w:lang w:val="en-US" w:eastAsia="de-DE" w:bidi="en-US"/>
        </w:rPr>
        <w:t>iRBCs</w:t>
      </w:r>
      <w:proofErr w:type="spellEnd"/>
      <w:r w:rsidRPr="00C50261">
        <w:rPr>
          <w:rFonts w:cstheme="minorHAnsi"/>
          <w:sz w:val="24"/>
          <w:szCs w:val="24"/>
          <w:lang w:val="en-US" w:eastAsia="de-DE" w:bidi="en-US"/>
        </w:rPr>
        <w:t xml:space="preserve"> at a shear stress of 1.5 dyne/cm</w:t>
      </w:r>
      <w:r w:rsidRPr="009E09CC">
        <w:rPr>
          <w:rFonts w:cstheme="minorHAnsi"/>
          <w:sz w:val="24"/>
          <w:szCs w:val="24"/>
          <w:vertAlign w:val="superscript"/>
          <w:lang w:val="en-US" w:eastAsia="de-DE" w:bidi="en-US"/>
        </w:rPr>
        <w:t>2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. </w:t>
      </w:r>
    </w:p>
    <w:p w14:paraId="36592F78" w14:textId="77777777" w:rsidR="00E90F6E" w:rsidRDefault="00E90F6E" w:rsidP="00E90F6E">
      <w:pPr>
        <w:jc w:val="both"/>
        <w:rPr>
          <w:rFonts w:cstheme="minorHAnsi"/>
          <w:sz w:val="24"/>
          <w:szCs w:val="24"/>
          <w:lang w:val="en-US" w:eastAsia="de-DE" w:bidi="en-US"/>
        </w:rPr>
      </w:pPr>
      <w:r w:rsidRPr="00C50261">
        <w:rPr>
          <w:rFonts w:cstheme="minorHAnsi"/>
          <w:sz w:val="24"/>
          <w:szCs w:val="24"/>
          <w:lang w:val="en-US" w:eastAsia="de-DE" w:bidi="en-US"/>
        </w:rPr>
        <w:lastRenderedPageBreak/>
        <w:t xml:space="preserve">We hypothesize that EC dysfunction is a precursor to severe malaria complications. This disrupts the balance between vasoconstriction and vasodilation, predisposing to </w:t>
      </w:r>
      <w:proofErr w:type="spellStart"/>
      <w:r w:rsidRPr="00C50261">
        <w:rPr>
          <w:rFonts w:cstheme="minorHAnsi"/>
          <w:sz w:val="24"/>
          <w:szCs w:val="24"/>
          <w:lang w:val="en-US" w:eastAsia="de-DE" w:bidi="en-US"/>
        </w:rPr>
        <w:t>cytoadhesion</w:t>
      </w:r>
      <w:proofErr w:type="spellEnd"/>
      <w:r w:rsidRPr="00C50261">
        <w:rPr>
          <w:rFonts w:cstheme="minorHAnsi"/>
          <w:sz w:val="24"/>
          <w:szCs w:val="24"/>
          <w:lang w:val="en-US" w:eastAsia="de-DE" w:bidi="en-US"/>
        </w:rPr>
        <w:t xml:space="preserve"> of </w:t>
      </w:r>
      <w:proofErr w:type="spellStart"/>
      <w:r w:rsidRPr="00C50261">
        <w:rPr>
          <w:rFonts w:cstheme="minorHAnsi"/>
          <w:sz w:val="24"/>
          <w:szCs w:val="24"/>
          <w:lang w:val="en-US" w:eastAsia="de-DE" w:bidi="en-US"/>
        </w:rPr>
        <w:t>iRBCs</w:t>
      </w:r>
      <w:proofErr w:type="spellEnd"/>
      <w:r w:rsidRPr="00C50261">
        <w:rPr>
          <w:rFonts w:cstheme="minorHAnsi"/>
          <w:sz w:val="24"/>
          <w:szCs w:val="24"/>
          <w:lang w:val="en-US" w:eastAsia="de-DE" w:bidi="en-US"/>
        </w:rPr>
        <w:t xml:space="preserve">, endothelial proliferation and </w:t>
      </w:r>
      <w:r>
        <w:rPr>
          <w:rFonts w:cstheme="minorHAnsi"/>
          <w:sz w:val="24"/>
          <w:szCs w:val="24"/>
          <w:lang w:val="en-US" w:eastAsia="de-DE" w:bidi="en-US"/>
        </w:rPr>
        <w:t>blood brain barrier</w:t>
      </w:r>
      <w:r w:rsidRPr="00C50261">
        <w:rPr>
          <w:rFonts w:cstheme="minorHAnsi"/>
          <w:sz w:val="24"/>
          <w:szCs w:val="24"/>
          <w:lang w:val="en-US" w:eastAsia="de-DE" w:bidi="en-US"/>
        </w:rPr>
        <w:t xml:space="preserve"> leakage. Certain miRNA candidates may be involved in the control of these events within ECs. </w:t>
      </w:r>
      <w:r w:rsidRPr="005535FD">
        <w:rPr>
          <w:rFonts w:cstheme="minorHAnsi"/>
          <w:sz w:val="24"/>
          <w:szCs w:val="24"/>
          <w:lang w:val="en-US" w:eastAsia="de-DE" w:bidi="en-US"/>
        </w:rPr>
        <w:t xml:space="preserve">Through cell-to-cell communication between </w:t>
      </w:r>
      <w:proofErr w:type="spellStart"/>
      <w:r w:rsidRPr="005535FD">
        <w:rPr>
          <w:rFonts w:cstheme="minorHAnsi"/>
          <w:sz w:val="24"/>
          <w:szCs w:val="24"/>
          <w:lang w:val="en-US" w:eastAsia="de-DE" w:bidi="en-US"/>
        </w:rPr>
        <w:t>iRBCs</w:t>
      </w:r>
      <w:proofErr w:type="spellEnd"/>
      <w:r w:rsidRPr="005535FD">
        <w:rPr>
          <w:rFonts w:cstheme="minorHAnsi"/>
          <w:sz w:val="24"/>
          <w:szCs w:val="24"/>
          <w:lang w:val="en-US" w:eastAsia="de-DE" w:bidi="en-US"/>
        </w:rPr>
        <w:t xml:space="preserve"> and ECs, these miRNAs can sense the presence of </w:t>
      </w:r>
      <w:proofErr w:type="spellStart"/>
      <w:r w:rsidRPr="005535FD">
        <w:rPr>
          <w:rFonts w:cstheme="minorHAnsi"/>
          <w:sz w:val="24"/>
          <w:szCs w:val="24"/>
          <w:lang w:val="en-US" w:eastAsia="de-DE" w:bidi="en-US"/>
        </w:rPr>
        <w:t>iRBCs</w:t>
      </w:r>
      <w:proofErr w:type="spellEnd"/>
      <w:r w:rsidRPr="005535FD">
        <w:rPr>
          <w:rFonts w:cstheme="minorHAnsi"/>
          <w:sz w:val="24"/>
          <w:szCs w:val="24"/>
          <w:lang w:val="en-US" w:eastAsia="de-DE" w:bidi="en-US"/>
        </w:rPr>
        <w:t xml:space="preserve"> and thus stimulate the initiating signaling pathways to respond to infection.</w:t>
      </w:r>
      <w:r>
        <w:rPr>
          <w:rFonts w:cstheme="minorHAnsi"/>
          <w:sz w:val="24"/>
          <w:szCs w:val="24"/>
          <w:lang w:val="en-US" w:eastAsia="de-DE" w:bidi="en-US"/>
        </w:rPr>
        <w:t xml:space="preserve"> Thus, we consider the miRNAs to be “</w:t>
      </w:r>
      <w:r w:rsidRPr="003E46FD">
        <w:rPr>
          <w:rFonts w:cstheme="minorHAnsi"/>
          <w:i/>
          <w:iCs/>
          <w:sz w:val="24"/>
          <w:szCs w:val="24"/>
          <w:lang w:val="en-US" w:eastAsia="de-DE" w:bidi="en-US"/>
        </w:rPr>
        <w:t>the code of duty</w:t>
      </w:r>
      <w:r>
        <w:rPr>
          <w:rFonts w:cstheme="minorHAnsi"/>
          <w:sz w:val="24"/>
          <w:szCs w:val="24"/>
          <w:lang w:val="en-US" w:eastAsia="de-DE" w:bidi="en-US"/>
        </w:rPr>
        <w:t>” for the initial immune response in the cells.</w:t>
      </w:r>
    </w:p>
    <w:sectPr w:rsidR="00E9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DF"/>
    <w:rsid w:val="00051A2D"/>
    <w:rsid w:val="000E7661"/>
    <w:rsid w:val="001B053C"/>
    <w:rsid w:val="003E46FD"/>
    <w:rsid w:val="004925F2"/>
    <w:rsid w:val="005535FD"/>
    <w:rsid w:val="005A4C10"/>
    <w:rsid w:val="006529DB"/>
    <w:rsid w:val="00782141"/>
    <w:rsid w:val="007D1EDF"/>
    <w:rsid w:val="008D26AF"/>
    <w:rsid w:val="00983F40"/>
    <w:rsid w:val="009E09CC"/>
    <w:rsid w:val="00AB1366"/>
    <w:rsid w:val="00AE329F"/>
    <w:rsid w:val="00C50261"/>
    <w:rsid w:val="00C538E4"/>
    <w:rsid w:val="00DA60F0"/>
    <w:rsid w:val="00E90F6E"/>
    <w:rsid w:val="00E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14C52"/>
  <w15:chartTrackingRefBased/>
  <w15:docId w15:val="{902D52E2-0F05-4876-AEB0-E474C7C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3authornames">
    <w:name w:val="MDPI_1.3_authornames"/>
    <w:next w:val="Normal"/>
    <w:qFormat/>
    <w:rsid w:val="00AB1366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sz w:val="20"/>
      <w:lang w:val="en-US" w:eastAsia="de-DE" w:bidi="en-US"/>
      <w14:ligatures w14:val="none"/>
    </w:rPr>
  </w:style>
  <w:style w:type="paragraph" w:customStyle="1" w:styleId="MDPI16affiliation">
    <w:name w:val="MDPI_1.6_affiliation"/>
    <w:qFormat/>
    <w:rsid w:val="00AB1366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0"/>
      <w:sz w:val="16"/>
      <w:szCs w:val="18"/>
      <w:lang w:val="en-US" w:eastAsia="de-DE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0B2A8E-0034-B340-8AED-7AC2600C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 Galal Metwally</dc:creator>
  <cp:keywords/>
  <dc:description/>
  <cp:lastModifiedBy>Microsoft Office User</cp:lastModifiedBy>
  <cp:revision>5</cp:revision>
  <dcterms:created xsi:type="dcterms:W3CDTF">2024-02-20T15:00:00Z</dcterms:created>
  <dcterms:modified xsi:type="dcterms:W3CDTF">2024-02-20T15:17:00Z</dcterms:modified>
</cp:coreProperties>
</file>