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4D88" w14:textId="4A26778C" w:rsidR="0069751F" w:rsidRPr="00CD5A9A" w:rsidRDefault="001F7276" w:rsidP="00CD5A9A">
      <w:pPr>
        <w:jc w:val="both"/>
        <w:rPr>
          <w:rFonts w:ascii="Cambria" w:hAnsi="Cambria"/>
        </w:rPr>
      </w:pPr>
      <w:r>
        <w:rPr>
          <w:noProof/>
        </w:rPr>
        <w:drawing>
          <wp:anchor distT="0" distB="0" distL="114300" distR="114300" simplePos="0" relativeHeight="251660288" behindDoc="0" locked="0" layoutInCell="1" allowOverlap="1" wp14:anchorId="29C825CD" wp14:editId="2E38D405">
            <wp:simplePos x="0" y="0"/>
            <wp:positionH relativeFrom="margin">
              <wp:posOffset>4512377</wp:posOffset>
            </wp:positionH>
            <wp:positionV relativeFrom="margin">
              <wp:posOffset>386715</wp:posOffset>
            </wp:positionV>
            <wp:extent cx="1475105" cy="1422400"/>
            <wp:effectExtent l="0" t="0" r="0" b="0"/>
            <wp:wrapSquare wrapText="bothSides"/>
            <wp:docPr id="527815720" name="Immagine 1" descr="Immagine che contiene vestiti, cielo, persona, Viso um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815720" name="Immagine 1" descr="Immagine che contiene vestiti, cielo, persona, Viso umano&#10;&#10;Descrizione generata automaticamente"/>
                    <pic:cNvPicPr/>
                  </pic:nvPicPr>
                  <pic:blipFill rotWithShape="1">
                    <a:blip r:embed="rId5" cstate="print">
                      <a:extLst>
                        <a:ext uri="{28A0092B-C50C-407E-A947-70E740481C1C}">
                          <a14:useLocalDpi xmlns:a14="http://schemas.microsoft.com/office/drawing/2010/main" val="0"/>
                        </a:ext>
                      </a:extLst>
                    </a:blip>
                    <a:srcRect t="19292" b="5504"/>
                    <a:stretch/>
                  </pic:blipFill>
                  <pic:spPr bwMode="auto">
                    <a:xfrm>
                      <a:off x="0" y="0"/>
                      <a:ext cx="1475105" cy="142240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751F" w:rsidRPr="0069751F">
        <w:rPr>
          <w:rFonts w:ascii="Cambria" w:hAnsi="Cambria"/>
          <w:b/>
          <w:bCs/>
        </w:rPr>
        <w:t>Presentation title:</w:t>
      </w:r>
      <w:r w:rsidR="00CD5A9A">
        <w:rPr>
          <w:rFonts w:ascii="Cambria" w:hAnsi="Cambria"/>
          <w:b/>
          <w:bCs/>
        </w:rPr>
        <w:t xml:space="preserve"> </w:t>
      </w:r>
      <w:r w:rsidR="00CD5A9A" w:rsidRPr="00CD5A9A">
        <w:rPr>
          <w:rFonts w:ascii="Cambria" w:hAnsi="Cambria"/>
        </w:rPr>
        <w:t xml:space="preserve">Ketogenic diet therapies for drug-resistant epilepsy might affect ion channels </w:t>
      </w:r>
      <w:r w:rsidR="00CD5A9A" w:rsidRPr="00CD5A9A">
        <w:rPr>
          <w:rFonts w:ascii="Cambria" w:hAnsi="Cambria"/>
        </w:rPr>
        <w:t xml:space="preserve">activity </w:t>
      </w:r>
      <w:r w:rsidR="00CD5A9A" w:rsidRPr="00CD5A9A">
        <w:rPr>
          <w:rFonts w:ascii="Cambria" w:hAnsi="Cambria"/>
        </w:rPr>
        <w:t xml:space="preserve">through the combination of both epigenetic changes and splicing </w:t>
      </w:r>
      <w:proofErr w:type="gramStart"/>
      <w:r w:rsidR="00CD5A9A" w:rsidRPr="00CD5A9A">
        <w:rPr>
          <w:rFonts w:ascii="Cambria" w:hAnsi="Cambria"/>
        </w:rPr>
        <w:t>events</w:t>
      </w:r>
      <w:proofErr w:type="gramEnd"/>
    </w:p>
    <w:p w14:paraId="111C9CD6" w14:textId="12405C6D" w:rsidR="0069751F" w:rsidRPr="00CD5A9A" w:rsidRDefault="0069751F" w:rsidP="0069751F">
      <w:pPr>
        <w:rPr>
          <w:rFonts w:ascii="Cambria" w:hAnsi="Cambria"/>
        </w:rPr>
      </w:pPr>
      <w:r w:rsidRPr="0069751F">
        <w:rPr>
          <w:rFonts w:ascii="Cambria" w:hAnsi="Cambria"/>
          <w:b/>
          <w:bCs/>
        </w:rPr>
        <w:t>Corresponding Author name:</w:t>
      </w:r>
      <w:r w:rsidR="00CD5A9A">
        <w:rPr>
          <w:rFonts w:ascii="Cambria" w:hAnsi="Cambria"/>
          <w:b/>
          <w:bCs/>
        </w:rPr>
        <w:t xml:space="preserve"> </w:t>
      </w:r>
      <w:r w:rsidR="00CD5A9A" w:rsidRPr="00CD5A9A">
        <w:rPr>
          <w:rFonts w:ascii="Cambria" w:hAnsi="Cambria"/>
        </w:rPr>
        <w:t>Alessia Mauri</w:t>
      </w:r>
    </w:p>
    <w:p w14:paraId="103DFD49" w14:textId="0A15BEDE" w:rsidR="0069751F" w:rsidRPr="00CD5A9A" w:rsidRDefault="0069751F" w:rsidP="0069751F">
      <w:pPr>
        <w:rPr>
          <w:rFonts w:ascii="Cambria" w:hAnsi="Cambria"/>
        </w:rPr>
      </w:pPr>
      <w:r w:rsidRPr="0069751F">
        <w:rPr>
          <w:rFonts w:ascii="Cambria" w:hAnsi="Cambria"/>
          <w:b/>
          <w:bCs/>
        </w:rPr>
        <w:t>Affiliation:</w:t>
      </w:r>
      <w:r w:rsidR="002F3066" w:rsidRPr="002F3066">
        <w:rPr>
          <w:noProof/>
        </w:rPr>
        <w:t xml:space="preserve"> </w:t>
      </w:r>
      <w:r w:rsidR="00CD5A9A" w:rsidRPr="00CD5A9A">
        <w:rPr>
          <w:rFonts w:ascii="Cambria" w:hAnsi="Cambria"/>
        </w:rPr>
        <w:t>Department of Biomedical and Clinical Sciences, University of Milan, Milan, Italy</w:t>
      </w:r>
      <w:r w:rsidR="00CD5A9A" w:rsidRPr="00CD5A9A">
        <w:rPr>
          <w:rFonts w:ascii="Cambria" w:hAnsi="Cambria"/>
        </w:rPr>
        <w:t>; C</w:t>
      </w:r>
      <w:r w:rsidR="00CD5A9A" w:rsidRPr="00CD5A9A">
        <w:rPr>
          <w:rFonts w:ascii="Cambria" w:hAnsi="Cambria"/>
        </w:rPr>
        <w:t>enter of Functional Genomics and Rare Diseases, Buzzi Children’s Hospital, Milan, Italy</w:t>
      </w:r>
      <w:r w:rsidR="00CD5A9A" w:rsidRPr="00CD5A9A">
        <w:rPr>
          <w:rFonts w:ascii="Cambria" w:hAnsi="Cambria"/>
        </w:rPr>
        <w:t>.</w:t>
      </w:r>
    </w:p>
    <w:p w14:paraId="50E2EE96" w14:textId="5BA5C727" w:rsidR="0069751F" w:rsidRPr="00CD5A9A" w:rsidRDefault="0069751F" w:rsidP="0069751F">
      <w:pPr>
        <w:rPr>
          <w:rFonts w:ascii="Cambria" w:hAnsi="Cambria"/>
        </w:rPr>
      </w:pPr>
      <w:r w:rsidRPr="0069751F">
        <w:rPr>
          <w:rFonts w:ascii="Cambria" w:hAnsi="Cambria"/>
          <w:b/>
          <w:bCs/>
        </w:rPr>
        <w:t>Email ID’s:</w:t>
      </w:r>
      <w:r w:rsidR="00CD5A9A">
        <w:rPr>
          <w:rFonts w:ascii="Cambria" w:hAnsi="Cambria"/>
          <w:b/>
          <w:bCs/>
        </w:rPr>
        <w:t xml:space="preserve"> </w:t>
      </w:r>
      <w:r w:rsidR="00CD5A9A" w:rsidRPr="00CD5A9A">
        <w:rPr>
          <w:rFonts w:ascii="Cambria" w:hAnsi="Cambria"/>
        </w:rPr>
        <w:t>alessia.mauri@unimi.it</w:t>
      </w:r>
    </w:p>
    <w:p w14:paraId="7510BC2C" w14:textId="6B16916E" w:rsidR="0069751F" w:rsidRPr="00CD5A9A" w:rsidRDefault="0069751F" w:rsidP="0069751F">
      <w:pPr>
        <w:rPr>
          <w:rFonts w:ascii="Cambria" w:hAnsi="Cambria"/>
          <w:lang w:val="it-IT"/>
        </w:rPr>
      </w:pPr>
      <w:r w:rsidRPr="00CD5A9A">
        <w:rPr>
          <w:rFonts w:ascii="Cambria" w:hAnsi="Cambria"/>
          <w:b/>
          <w:bCs/>
          <w:lang w:val="it-IT"/>
        </w:rPr>
        <w:t>WhatsApp No:</w:t>
      </w:r>
      <w:r w:rsidR="002F3066" w:rsidRPr="00CD5A9A">
        <w:rPr>
          <w:rFonts w:ascii="Cambria" w:hAnsi="Cambria"/>
          <w:b/>
          <w:bCs/>
          <w:lang w:val="it-IT"/>
        </w:rPr>
        <w:t xml:space="preserve"> </w:t>
      </w:r>
      <w:r w:rsidR="00CD5A9A" w:rsidRPr="00CD5A9A">
        <w:rPr>
          <w:rFonts w:ascii="Cambria" w:hAnsi="Cambria"/>
          <w:lang w:val="it-IT"/>
        </w:rPr>
        <w:t>+39 3341615721</w:t>
      </w:r>
    </w:p>
    <w:p w14:paraId="04D25D6B" w14:textId="56FCB6A4" w:rsidR="0069751F" w:rsidRDefault="0069751F" w:rsidP="00CD5A9A">
      <w:pPr>
        <w:jc w:val="both"/>
        <w:rPr>
          <w:rFonts w:ascii="Cambria" w:hAnsi="Cambria"/>
          <w:lang w:val="it-IT"/>
        </w:rPr>
      </w:pPr>
      <w:r w:rsidRPr="00CD5A9A">
        <w:rPr>
          <w:rFonts w:ascii="Cambria" w:hAnsi="Cambria"/>
          <w:b/>
          <w:bCs/>
        </w:rPr>
        <w:t>Other Authors if any:</w:t>
      </w:r>
      <w:r w:rsidR="00CD5A9A" w:rsidRPr="00CD5A9A">
        <w:rPr>
          <w:rFonts w:ascii="Cambria" w:hAnsi="Cambria"/>
          <w:b/>
          <w:bCs/>
          <w:lang w:val="it-IT"/>
        </w:rPr>
        <w:t xml:space="preserve"> </w:t>
      </w:r>
      <w:r w:rsidR="00CD5A9A" w:rsidRPr="00CD5A9A">
        <w:rPr>
          <w:rFonts w:ascii="Cambria" w:hAnsi="Cambria"/>
          <w:lang w:val="it-IT"/>
        </w:rPr>
        <w:t>Alessia Mauri</w:t>
      </w:r>
      <w:r w:rsidR="00CD5A9A" w:rsidRPr="00CD5A9A">
        <w:rPr>
          <w:rFonts w:ascii="Cambria" w:hAnsi="Cambria"/>
          <w:vertAlign w:val="superscript"/>
          <w:lang w:val="it-IT"/>
        </w:rPr>
        <w:t>1,2</w:t>
      </w:r>
      <w:r w:rsidR="00CD5A9A" w:rsidRPr="00CD5A9A">
        <w:rPr>
          <w:rFonts w:ascii="Cambria" w:hAnsi="Cambria"/>
          <w:lang w:val="it-IT"/>
        </w:rPr>
        <w:t>, Letizia Messa</w:t>
      </w:r>
      <w:r w:rsidR="00CD5A9A" w:rsidRPr="00CD5A9A">
        <w:rPr>
          <w:rFonts w:ascii="Cambria" w:hAnsi="Cambria"/>
          <w:vertAlign w:val="superscript"/>
          <w:lang w:val="it-IT"/>
        </w:rPr>
        <w:t>1,3</w:t>
      </w:r>
      <w:r w:rsidR="00CD5A9A" w:rsidRPr="00CD5A9A">
        <w:rPr>
          <w:rFonts w:ascii="Cambria" w:hAnsi="Cambria"/>
          <w:lang w:val="it-IT"/>
        </w:rPr>
        <w:t>, Roberto Previtali</w:t>
      </w:r>
      <w:r w:rsidR="00CD5A9A" w:rsidRPr="00CD5A9A">
        <w:rPr>
          <w:rFonts w:ascii="Cambria" w:hAnsi="Cambria"/>
          <w:vertAlign w:val="superscript"/>
          <w:lang w:val="it-IT"/>
        </w:rPr>
        <w:t>2,4</w:t>
      </w:r>
      <w:r w:rsidR="00CD5A9A" w:rsidRPr="00CD5A9A">
        <w:rPr>
          <w:rFonts w:ascii="Cambria" w:hAnsi="Cambria"/>
          <w:lang w:val="it-IT"/>
        </w:rPr>
        <w:t>, Davide Biganzoli</w:t>
      </w:r>
      <w:r w:rsidR="00CD5A9A" w:rsidRPr="00CD5A9A">
        <w:rPr>
          <w:rFonts w:ascii="Cambria" w:hAnsi="Cambria"/>
          <w:vertAlign w:val="superscript"/>
          <w:lang w:val="it-IT"/>
        </w:rPr>
        <w:t>1</w:t>
      </w:r>
      <w:r w:rsidR="00CD5A9A" w:rsidRPr="00CD5A9A">
        <w:rPr>
          <w:rFonts w:ascii="Cambria" w:hAnsi="Cambria"/>
          <w:lang w:val="it-IT"/>
        </w:rPr>
        <w:t>, Clarissa Berardo</w:t>
      </w:r>
      <w:r w:rsidR="00CD5A9A" w:rsidRPr="00CD5A9A">
        <w:rPr>
          <w:rFonts w:ascii="Cambria" w:hAnsi="Cambria"/>
          <w:vertAlign w:val="superscript"/>
          <w:lang w:val="it-IT"/>
        </w:rPr>
        <w:t>1,2</w:t>
      </w:r>
      <w:r w:rsidR="00CD5A9A" w:rsidRPr="00CD5A9A">
        <w:rPr>
          <w:rFonts w:ascii="Cambria" w:hAnsi="Cambria"/>
          <w:lang w:val="it-IT"/>
        </w:rPr>
        <w:t>, Sara Olivotto</w:t>
      </w:r>
      <w:r w:rsidR="00CD5A9A" w:rsidRPr="00CD5A9A">
        <w:rPr>
          <w:rFonts w:ascii="Cambria" w:hAnsi="Cambria"/>
          <w:vertAlign w:val="superscript"/>
          <w:lang w:val="it-IT"/>
        </w:rPr>
        <w:t>4</w:t>
      </w:r>
      <w:r w:rsidR="00CD5A9A" w:rsidRPr="00CD5A9A">
        <w:rPr>
          <w:rFonts w:ascii="Cambria" w:hAnsi="Cambria"/>
          <w:lang w:val="it-IT"/>
        </w:rPr>
        <w:t>, Maria Cristina Visceglia</w:t>
      </w:r>
      <w:r w:rsidR="00CD5A9A" w:rsidRPr="00CD5A9A">
        <w:rPr>
          <w:rFonts w:ascii="Cambria" w:hAnsi="Cambria"/>
          <w:vertAlign w:val="superscript"/>
          <w:lang w:val="it-IT"/>
        </w:rPr>
        <w:t>1</w:t>
      </w:r>
      <w:r w:rsidR="00CD5A9A" w:rsidRPr="00CD5A9A">
        <w:rPr>
          <w:rFonts w:ascii="Cambria" w:hAnsi="Cambria"/>
          <w:lang w:val="it-IT"/>
        </w:rPr>
        <w:t>, Andrea Meta</w:t>
      </w:r>
      <w:r w:rsidR="00CD5A9A" w:rsidRPr="00CD5A9A">
        <w:rPr>
          <w:rFonts w:ascii="Cambria" w:hAnsi="Cambria"/>
          <w:vertAlign w:val="superscript"/>
          <w:lang w:val="it-IT"/>
        </w:rPr>
        <w:t>1</w:t>
      </w:r>
      <w:r w:rsidR="00CD5A9A" w:rsidRPr="00CD5A9A">
        <w:rPr>
          <w:rFonts w:ascii="Cambria" w:hAnsi="Cambria"/>
          <w:lang w:val="it-IT"/>
        </w:rPr>
        <w:t>, Alessandra Vasco</w:t>
      </w:r>
      <w:r w:rsidR="00CD5A9A" w:rsidRPr="00CD5A9A">
        <w:rPr>
          <w:rFonts w:ascii="Cambria" w:hAnsi="Cambria"/>
          <w:vertAlign w:val="superscript"/>
          <w:lang w:val="it-IT"/>
        </w:rPr>
        <w:t>1</w:t>
      </w:r>
      <w:r w:rsidR="00CD5A9A" w:rsidRPr="00CD5A9A">
        <w:rPr>
          <w:rFonts w:ascii="Cambria" w:hAnsi="Cambria"/>
          <w:lang w:val="it-IT"/>
        </w:rPr>
        <w:t>, Stephana Carelli</w:t>
      </w:r>
      <w:r w:rsidR="00CD5A9A" w:rsidRPr="00CD5A9A">
        <w:rPr>
          <w:rFonts w:ascii="Cambria" w:hAnsi="Cambria"/>
          <w:vertAlign w:val="superscript"/>
          <w:lang w:val="it-IT"/>
        </w:rPr>
        <w:t>1</w:t>
      </w:r>
      <w:r w:rsidR="00CD5A9A" w:rsidRPr="00CD5A9A">
        <w:rPr>
          <w:rFonts w:ascii="Cambria" w:hAnsi="Cambria"/>
          <w:lang w:val="it-IT"/>
        </w:rPr>
        <w:t>, Pierangelo Veggiotti</w:t>
      </w:r>
      <w:r w:rsidR="00CD5A9A" w:rsidRPr="00CD5A9A">
        <w:rPr>
          <w:rFonts w:ascii="Cambria" w:hAnsi="Cambria"/>
          <w:vertAlign w:val="superscript"/>
          <w:lang w:val="it-IT"/>
        </w:rPr>
        <w:t>2,4</w:t>
      </w:r>
      <w:r w:rsidR="00CD5A9A" w:rsidRPr="00CD5A9A">
        <w:rPr>
          <w:rFonts w:ascii="Cambria" w:hAnsi="Cambria"/>
          <w:lang w:val="it-IT"/>
        </w:rPr>
        <w:t>, Cristina Cereda</w:t>
      </w:r>
      <w:r w:rsidR="00CD5A9A" w:rsidRPr="00CD5A9A">
        <w:rPr>
          <w:rFonts w:ascii="Cambria" w:hAnsi="Cambria"/>
          <w:vertAlign w:val="superscript"/>
          <w:lang w:val="it-IT"/>
        </w:rPr>
        <w:t>1</w:t>
      </w:r>
    </w:p>
    <w:p w14:paraId="32634A4E" w14:textId="77777777" w:rsidR="00CD5A9A" w:rsidRPr="00CD5A9A" w:rsidRDefault="00CD5A9A" w:rsidP="00CD5A9A">
      <w:pPr>
        <w:jc w:val="both"/>
        <w:rPr>
          <w:rFonts w:ascii="Cambria" w:hAnsi="Cambria"/>
        </w:rPr>
      </w:pPr>
      <w:r w:rsidRPr="00CD5A9A">
        <w:rPr>
          <w:rFonts w:ascii="Cambria" w:hAnsi="Cambria"/>
          <w:vertAlign w:val="superscript"/>
        </w:rPr>
        <w:t>1</w:t>
      </w:r>
      <w:r w:rsidRPr="00CD5A9A">
        <w:rPr>
          <w:rFonts w:ascii="Cambria" w:hAnsi="Cambria"/>
        </w:rPr>
        <w:t>Center of Functional Genomics and Rare Diseases, Buzzi Children’s Hospital, Milan, Italy</w:t>
      </w:r>
    </w:p>
    <w:p w14:paraId="2626503B" w14:textId="77777777" w:rsidR="00CD5A9A" w:rsidRPr="00CD5A9A" w:rsidRDefault="00CD5A9A" w:rsidP="00CD5A9A">
      <w:pPr>
        <w:jc w:val="both"/>
        <w:rPr>
          <w:rFonts w:ascii="Cambria" w:hAnsi="Cambria"/>
        </w:rPr>
      </w:pPr>
      <w:r w:rsidRPr="00CD5A9A">
        <w:rPr>
          <w:rFonts w:ascii="Cambria" w:hAnsi="Cambria"/>
          <w:vertAlign w:val="superscript"/>
        </w:rPr>
        <w:t>2</w:t>
      </w:r>
      <w:r w:rsidRPr="00CD5A9A">
        <w:rPr>
          <w:rFonts w:ascii="Cambria" w:hAnsi="Cambria"/>
        </w:rPr>
        <w:t>Department of Biomedical and Clinical Sciences, University of Milan, Milan, Italy</w:t>
      </w:r>
    </w:p>
    <w:p w14:paraId="26E09C43" w14:textId="42FBB101" w:rsidR="00CD5A9A" w:rsidRPr="00CD5A9A" w:rsidRDefault="00CD5A9A" w:rsidP="00CD5A9A">
      <w:pPr>
        <w:jc w:val="both"/>
        <w:rPr>
          <w:rFonts w:ascii="Cambria" w:hAnsi="Cambria"/>
        </w:rPr>
      </w:pPr>
      <w:r w:rsidRPr="00CD5A9A">
        <w:rPr>
          <w:rFonts w:ascii="Cambria" w:hAnsi="Cambria"/>
          <w:vertAlign w:val="superscript"/>
        </w:rPr>
        <w:t>3</w:t>
      </w:r>
      <w:r w:rsidRPr="00CD5A9A">
        <w:rPr>
          <w:rFonts w:ascii="Cambria" w:hAnsi="Cambria"/>
        </w:rPr>
        <w:t xml:space="preserve">Department of Electronics, Information and Bioengineering, </w:t>
      </w:r>
      <w:proofErr w:type="spellStart"/>
      <w:r w:rsidRPr="00CD5A9A">
        <w:rPr>
          <w:rFonts w:ascii="Cambria" w:hAnsi="Cambria"/>
        </w:rPr>
        <w:t>Politecnico</w:t>
      </w:r>
      <w:proofErr w:type="spellEnd"/>
      <w:r w:rsidRPr="00CD5A9A">
        <w:rPr>
          <w:rFonts w:ascii="Cambria" w:hAnsi="Cambria"/>
        </w:rPr>
        <w:t xml:space="preserve"> di Milano, Milan, Italy</w:t>
      </w:r>
    </w:p>
    <w:p w14:paraId="4F2FC955" w14:textId="11D76BFE" w:rsidR="00CD5A9A" w:rsidRPr="00CD5A9A" w:rsidRDefault="00CD5A9A" w:rsidP="00CD5A9A">
      <w:pPr>
        <w:jc w:val="both"/>
        <w:rPr>
          <w:rFonts w:ascii="Cambria" w:hAnsi="Cambria"/>
        </w:rPr>
      </w:pPr>
      <w:r w:rsidRPr="00CD5A9A">
        <w:rPr>
          <w:rFonts w:ascii="Cambria" w:hAnsi="Cambria"/>
          <w:vertAlign w:val="superscript"/>
        </w:rPr>
        <w:t>4</w:t>
      </w:r>
      <w:r w:rsidRPr="00CD5A9A">
        <w:rPr>
          <w:rFonts w:ascii="Cambria" w:hAnsi="Cambria"/>
        </w:rPr>
        <w:t>Pediatric Neurology Unit, Buzzi Children's Hospital, Milan, Italy</w:t>
      </w:r>
    </w:p>
    <w:p w14:paraId="0FEC6D6C" w14:textId="5463E314"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4CC8E51B" w14:textId="77777777" w:rsidR="00CD5A9A" w:rsidRPr="00CD5A9A" w:rsidRDefault="00CD5A9A" w:rsidP="00CD5A9A">
      <w:pPr>
        <w:jc w:val="both"/>
        <w:rPr>
          <w:rFonts w:ascii="Cambria" w:hAnsi="Cambria"/>
        </w:rPr>
      </w:pPr>
      <w:r w:rsidRPr="00CD5A9A">
        <w:rPr>
          <w:rFonts w:ascii="Cambria" w:hAnsi="Cambria"/>
        </w:rPr>
        <w:t>Background</w:t>
      </w:r>
    </w:p>
    <w:p w14:paraId="520A27BB" w14:textId="11186B64" w:rsidR="00CD5A9A" w:rsidRPr="00CD5A9A" w:rsidRDefault="00CD5A9A" w:rsidP="00CD5A9A">
      <w:pPr>
        <w:jc w:val="both"/>
        <w:rPr>
          <w:rFonts w:ascii="Cambria" w:hAnsi="Cambria"/>
        </w:rPr>
      </w:pPr>
      <w:r w:rsidRPr="00CD5A9A">
        <w:rPr>
          <w:rFonts w:ascii="Cambria" w:hAnsi="Cambria"/>
        </w:rPr>
        <w:t xml:space="preserve">Diet is among the most relevant epigenetic modulators, and increasing </w:t>
      </w:r>
      <w:r>
        <w:rPr>
          <w:rFonts w:ascii="Cambria" w:hAnsi="Cambria"/>
        </w:rPr>
        <w:t>findings</w:t>
      </w:r>
      <w:r w:rsidRPr="00CD5A9A">
        <w:rPr>
          <w:rFonts w:ascii="Cambria" w:hAnsi="Cambria"/>
        </w:rPr>
        <w:t xml:space="preserve"> suggest that epigenetic changes (DNA methylation, histone acetylation and chromatin remodeling) are also associated with ketogenic diet (KD) therapies. These are considered an effective approach for the management of drug-resistant epilepsy, such as GLUT1 deficiency syndrome (GLUT1-DS; #606777), whereas its underlying mechanisms remain elusive.</w:t>
      </w:r>
    </w:p>
    <w:p w14:paraId="0D093249" w14:textId="70DC9685" w:rsidR="00CD5A9A" w:rsidRPr="00CD5A9A" w:rsidRDefault="00CD5A9A" w:rsidP="00CD5A9A">
      <w:pPr>
        <w:jc w:val="both"/>
        <w:rPr>
          <w:rFonts w:ascii="Cambria" w:hAnsi="Cambria"/>
        </w:rPr>
      </w:pPr>
      <w:r w:rsidRPr="00CD5A9A">
        <w:rPr>
          <w:rFonts w:ascii="Cambria" w:hAnsi="Cambria"/>
        </w:rPr>
        <w:t>After the confirmation of the metabolic status, we aimed to explore the transcriptional dysregulations of two SLC2A1-mutated pediatric patients before and 6/8 months after the treatment with KD and to also assess alterations in the methylome profiling.</w:t>
      </w:r>
    </w:p>
    <w:p w14:paraId="34DACB13" w14:textId="77777777" w:rsidR="00CD5A9A" w:rsidRPr="00CD5A9A" w:rsidRDefault="00CD5A9A" w:rsidP="00CD5A9A">
      <w:pPr>
        <w:jc w:val="both"/>
        <w:rPr>
          <w:rFonts w:ascii="Cambria" w:hAnsi="Cambria"/>
        </w:rPr>
      </w:pPr>
      <w:r w:rsidRPr="00CD5A9A">
        <w:rPr>
          <w:rFonts w:ascii="Cambria" w:hAnsi="Cambria"/>
        </w:rPr>
        <w:t>Methods</w:t>
      </w:r>
    </w:p>
    <w:p w14:paraId="3F3C6B5A" w14:textId="59875930" w:rsidR="00CD5A9A" w:rsidRPr="00CD5A9A" w:rsidRDefault="00CD5A9A" w:rsidP="00CD5A9A">
      <w:pPr>
        <w:jc w:val="both"/>
        <w:rPr>
          <w:rFonts w:ascii="Cambria" w:hAnsi="Cambria"/>
        </w:rPr>
      </w:pPr>
      <w:r w:rsidRPr="00CD5A9A">
        <w:rPr>
          <w:rFonts w:ascii="Cambria" w:hAnsi="Cambria"/>
        </w:rPr>
        <w:t xml:space="preserve">FIA-MS/MS platform was carried out for the analysis of 11 amino acids and 31 acyl carnitines. Bulk RNA sequencing was performed using Illumina Stranded Total RNA Pre kit and sequenced on NS500. Differential expression analysis was conducted using R Package DESeq.2 and gene set enrichment analysis (GSEA) was performed using Cluster Profiler. Analysis of alternative splicing and isoform switches was implemented using </w:t>
      </w:r>
      <w:proofErr w:type="spellStart"/>
      <w:r w:rsidRPr="00CD5A9A">
        <w:rPr>
          <w:rFonts w:ascii="Cambria" w:hAnsi="Cambria"/>
        </w:rPr>
        <w:t>IsoformSwitchAnalyzeR</w:t>
      </w:r>
      <w:proofErr w:type="spellEnd"/>
      <w:r w:rsidRPr="00CD5A9A">
        <w:rPr>
          <w:rFonts w:ascii="Cambria" w:hAnsi="Cambria"/>
        </w:rPr>
        <w:t xml:space="preserve">. Methylation sequencing was carried out on </w:t>
      </w:r>
      <w:proofErr w:type="spellStart"/>
      <w:r w:rsidRPr="00CD5A9A">
        <w:rPr>
          <w:rFonts w:ascii="Cambria" w:hAnsi="Cambria"/>
        </w:rPr>
        <w:t>PromethION</w:t>
      </w:r>
      <w:proofErr w:type="spellEnd"/>
      <w:r w:rsidRPr="00CD5A9A">
        <w:rPr>
          <w:rFonts w:ascii="Cambria" w:hAnsi="Cambria"/>
        </w:rPr>
        <w:t xml:space="preserve"> 2 Solo platform and data analysis was showed using Remora algorithm.</w:t>
      </w:r>
    </w:p>
    <w:p w14:paraId="0BEF41AD" w14:textId="77777777" w:rsidR="00CD5A9A" w:rsidRPr="00CD5A9A" w:rsidRDefault="00CD5A9A" w:rsidP="00CD5A9A">
      <w:pPr>
        <w:jc w:val="both"/>
        <w:rPr>
          <w:rFonts w:ascii="Cambria" w:hAnsi="Cambria"/>
        </w:rPr>
      </w:pPr>
      <w:r w:rsidRPr="00CD5A9A">
        <w:rPr>
          <w:rFonts w:ascii="Cambria" w:hAnsi="Cambria"/>
        </w:rPr>
        <w:t>Results</w:t>
      </w:r>
    </w:p>
    <w:p w14:paraId="35F1BCBB" w14:textId="38755D6E" w:rsidR="00CD5A9A" w:rsidRPr="00CD5A9A" w:rsidRDefault="00CD5A9A" w:rsidP="00CD5A9A">
      <w:pPr>
        <w:jc w:val="both"/>
        <w:rPr>
          <w:rFonts w:ascii="Cambria" w:hAnsi="Cambria"/>
        </w:rPr>
      </w:pPr>
      <w:r w:rsidRPr="00CD5A9A">
        <w:rPr>
          <w:rFonts w:ascii="Cambria" w:hAnsi="Cambria"/>
        </w:rPr>
        <w:t xml:space="preserve">Metabolite analysis has confirmed the ketosis status in two patients in diet  (increase of C2 and C4OH). RNA-seq data highlighted a significant splicing change in GLUT1-DS children under KD </w:t>
      </w:r>
      <w:r w:rsidRPr="00CD5A9A">
        <w:rPr>
          <w:rFonts w:ascii="Cambria" w:hAnsi="Cambria"/>
        </w:rPr>
        <w:lastRenderedPageBreak/>
        <w:t>treatment identifying the snRNA U1 up-regulated before the therapy. In addition to amino acids metabolism, translation and mitochondrial activity deregulated, when performing GSEA with Reactome a strong epigenetic signature was also observed: histones deacetylation and DNA methylation resulted down-regulated. Molecular function analysis showed a down-regulation in voltage-gated ion channel and passive transmembrane transporter activities. Moreover, analysis for 5mC and 5hmC profiles identified differentially methylated CpG sites before and after KD.</w:t>
      </w:r>
    </w:p>
    <w:p w14:paraId="15E21034" w14:textId="77777777" w:rsidR="00CD5A9A" w:rsidRPr="00CD5A9A" w:rsidRDefault="00CD5A9A" w:rsidP="00CD5A9A">
      <w:pPr>
        <w:jc w:val="both"/>
        <w:rPr>
          <w:rFonts w:ascii="Cambria" w:hAnsi="Cambria"/>
        </w:rPr>
      </w:pPr>
      <w:r w:rsidRPr="00CD5A9A">
        <w:rPr>
          <w:rFonts w:ascii="Cambria" w:hAnsi="Cambria"/>
        </w:rPr>
        <w:t>Conclusions</w:t>
      </w:r>
    </w:p>
    <w:p w14:paraId="1C944C32" w14:textId="77777777" w:rsidR="00CD5A9A" w:rsidRPr="00CD5A9A" w:rsidRDefault="00CD5A9A" w:rsidP="00CD5A9A">
      <w:pPr>
        <w:jc w:val="both"/>
        <w:rPr>
          <w:rFonts w:ascii="Cambria" w:hAnsi="Cambria"/>
        </w:rPr>
      </w:pPr>
      <w:r w:rsidRPr="00CD5A9A">
        <w:rPr>
          <w:rFonts w:ascii="Cambria" w:hAnsi="Cambria"/>
        </w:rPr>
        <w:t>The observed epigenetic changes related to KD treatment might influence the alternative RNA processing of voltage-gated ion channels also by epigenetic splicing code.</w:t>
      </w: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6CEA563D" w14:textId="397EFCE9" w:rsidR="0069751F" w:rsidRPr="0069751F" w:rsidRDefault="00DE7367" w:rsidP="00DE7367">
      <w:pPr>
        <w:jc w:val="both"/>
        <w:rPr>
          <w:rFonts w:ascii="Cambria" w:hAnsi="Cambria"/>
        </w:rPr>
      </w:pPr>
      <w:r w:rsidRPr="00DE7367">
        <w:rPr>
          <w:rFonts w:ascii="Cambria" w:hAnsi="Cambria"/>
        </w:rPr>
        <w:t>I am a determined women at third and final year of Ph.D.</w:t>
      </w:r>
      <w:r>
        <w:rPr>
          <w:rFonts w:ascii="Cambria" w:hAnsi="Cambria"/>
        </w:rPr>
        <w:t xml:space="preserve"> in Nutrition Sciences</w:t>
      </w:r>
      <w:r w:rsidRPr="00DE7367">
        <w:rPr>
          <w:rFonts w:ascii="Cambria" w:hAnsi="Cambria"/>
        </w:rPr>
        <w:t xml:space="preserve"> </w:t>
      </w:r>
      <w:r>
        <w:rPr>
          <w:rFonts w:ascii="Cambria" w:hAnsi="Cambria"/>
        </w:rPr>
        <w:t xml:space="preserve">at the University of Milan (Italy) </w:t>
      </w:r>
      <w:r w:rsidRPr="00DE7367">
        <w:rPr>
          <w:rFonts w:ascii="Cambria" w:hAnsi="Cambria"/>
        </w:rPr>
        <w:t>with a great desire to grow professionally and personally. My studies are oriented towards genomics and epigenomics, with a deep interest in epigenetic regulation</w:t>
      </w:r>
      <w:r>
        <w:rPr>
          <w:rFonts w:ascii="Cambria" w:hAnsi="Cambria"/>
        </w:rPr>
        <w:t xml:space="preserve"> (specifically, </w:t>
      </w:r>
      <w:r w:rsidRPr="00DE7367">
        <w:rPr>
          <w:rFonts w:ascii="Cambria" w:hAnsi="Cambria"/>
        </w:rPr>
        <w:t>RNA sequencing and DNA Methylation sequencing are the two approaches I am currently focusing on</w:t>
      </w:r>
      <w:r>
        <w:rPr>
          <w:rFonts w:ascii="Cambria" w:hAnsi="Cambria"/>
        </w:rPr>
        <w:t>)</w:t>
      </w:r>
      <w:r w:rsidRPr="00DE7367">
        <w:rPr>
          <w:rFonts w:ascii="Cambria" w:hAnsi="Cambria"/>
        </w:rPr>
        <w:t xml:space="preserve"> in rare pediatric genetic diseases.</w:t>
      </w:r>
      <w:r>
        <w:rPr>
          <w:rFonts w:ascii="Cambria" w:hAnsi="Cambria"/>
        </w:rPr>
        <w:t xml:space="preserve"> </w:t>
      </w: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05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1F7276"/>
    <w:rsid w:val="002F3066"/>
    <w:rsid w:val="005C4B14"/>
    <w:rsid w:val="0069751F"/>
    <w:rsid w:val="00770E25"/>
    <w:rsid w:val="0093336F"/>
    <w:rsid w:val="00B03C8F"/>
    <w:rsid w:val="00CD5A9A"/>
    <w:rsid w:val="00D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3632F5F0-A94A-E04E-A870-3A52E3DC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Alessia Mauri</cp:lastModifiedBy>
  <cp:revision>3</cp:revision>
  <dcterms:created xsi:type="dcterms:W3CDTF">2024-02-18T16:37:00Z</dcterms:created>
  <dcterms:modified xsi:type="dcterms:W3CDTF">2024-02-18T16:40:00Z</dcterms:modified>
</cp:coreProperties>
</file>