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2BC6D" w14:textId="77777777" w:rsidR="004D7E21" w:rsidRPr="004D7E21" w:rsidRDefault="004D7E21" w:rsidP="0035150F">
      <w:pPr>
        <w:spacing w:line="360" w:lineRule="auto"/>
        <w:jc w:val="both"/>
        <w:rPr>
          <w:b/>
          <w:sz w:val="28"/>
        </w:rPr>
      </w:pPr>
      <w:r w:rsidRPr="004D7E21">
        <w:rPr>
          <w:b/>
          <w:sz w:val="28"/>
        </w:rPr>
        <w:t xml:space="preserve">Molecular epidemiology and antimicrobial susceptibility of diarrheagenic </w:t>
      </w:r>
      <w:r w:rsidRPr="004D7E21">
        <w:rPr>
          <w:b/>
          <w:i/>
          <w:sz w:val="28"/>
        </w:rPr>
        <w:t>Escherichia coli</w:t>
      </w:r>
      <w:r w:rsidRPr="004D7E21">
        <w:rPr>
          <w:b/>
          <w:sz w:val="28"/>
        </w:rPr>
        <w:t xml:space="preserve"> isolated from children under age five with and without diarrhea in Central Ethiopia   </w:t>
      </w:r>
    </w:p>
    <w:p w14:paraId="58635DEA" w14:textId="77777777" w:rsidR="004D7E21" w:rsidRPr="004D7E21" w:rsidRDefault="004D7E21" w:rsidP="004D7E21">
      <w:pPr>
        <w:spacing w:line="360" w:lineRule="auto"/>
        <w:jc w:val="both"/>
        <w:rPr>
          <w:b/>
        </w:rPr>
      </w:pPr>
      <w:bookmarkStart w:id="0" w:name="_Toc498243632"/>
      <w:r w:rsidRPr="004D7E21">
        <w:rPr>
          <w:b/>
        </w:rPr>
        <w:t xml:space="preserve">Author’s Full Name:  </w:t>
      </w:r>
    </w:p>
    <w:p w14:paraId="7716BC50" w14:textId="77777777" w:rsidR="004D7E21" w:rsidRPr="004D7E21" w:rsidRDefault="004D7E21" w:rsidP="004D7E21">
      <w:pPr>
        <w:spacing w:line="360" w:lineRule="auto"/>
        <w:jc w:val="both"/>
      </w:pPr>
      <w:r w:rsidRPr="004D7E21">
        <w:t>Tizazu Zenebe Zelelie</w:t>
      </w:r>
      <w:r w:rsidRPr="004D7E21">
        <w:rPr>
          <w:vertAlign w:val="superscript"/>
        </w:rPr>
        <w:t>1,2,3</w:t>
      </w:r>
      <w:r w:rsidRPr="004D7E21">
        <w:rPr>
          <w:vertAlign w:val="superscript"/>
        </w:rPr>
        <w:sym w:font="Symbol" w:char="F02A"/>
      </w:r>
      <w:r w:rsidRPr="004D7E21">
        <w:t>, Tadesse Eguale</w:t>
      </w:r>
      <w:r w:rsidRPr="004D7E21">
        <w:rPr>
          <w:vertAlign w:val="superscript"/>
        </w:rPr>
        <w:t>4,5</w:t>
      </w:r>
      <w:r w:rsidRPr="004D7E21">
        <w:t>, Berhanu Yitayew</w:t>
      </w:r>
      <w:r w:rsidRPr="004D7E21">
        <w:rPr>
          <w:vertAlign w:val="superscript"/>
        </w:rPr>
        <w:t>1</w:t>
      </w:r>
      <w:r w:rsidRPr="004D7E21">
        <w:t>, Dessalegn Abeje</w:t>
      </w:r>
      <w:r w:rsidRPr="004D7E21">
        <w:rPr>
          <w:vertAlign w:val="superscript"/>
        </w:rPr>
        <w:t>3</w:t>
      </w:r>
      <w:r w:rsidRPr="004D7E21">
        <w:t>, Ashenafi Alemu</w:t>
      </w:r>
      <w:r w:rsidRPr="004D7E21">
        <w:rPr>
          <w:vertAlign w:val="superscript"/>
        </w:rPr>
        <w:t>3</w:t>
      </w:r>
      <w:r w:rsidRPr="004D7E21">
        <w:t>, Aminu Seman</w:t>
      </w:r>
      <w:r w:rsidRPr="004D7E21">
        <w:rPr>
          <w:vertAlign w:val="superscript"/>
        </w:rPr>
        <w:t>2</w:t>
      </w:r>
      <w:r w:rsidRPr="004D7E21">
        <w:t>, Jana Jass</w:t>
      </w:r>
      <w:r w:rsidRPr="004D7E21">
        <w:rPr>
          <w:vertAlign w:val="superscript"/>
        </w:rPr>
        <w:t>6</w:t>
      </w:r>
      <w:r w:rsidRPr="004D7E21">
        <w:t>, Adane Mihret</w:t>
      </w:r>
      <w:r w:rsidRPr="004D7E21">
        <w:rPr>
          <w:vertAlign w:val="superscript"/>
        </w:rPr>
        <w:t>2,3</w:t>
      </w:r>
      <w:r w:rsidRPr="004D7E21">
        <w:t>, Tamrat Abebe</w:t>
      </w:r>
      <w:r w:rsidRPr="004D7E21">
        <w:rPr>
          <w:vertAlign w:val="superscript"/>
        </w:rPr>
        <w:t>2</w:t>
      </w:r>
      <w:r w:rsidRPr="004D7E21">
        <w:t xml:space="preserve"> </w:t>
      </w:r>
    </w:p>
    <w:p w14:paraId="3E432EE4" w14:textId="77777777" w:rsidR="004D7E21" w:rsidRPr="004D7E21" w:rsidRDefault="004D7E21" w:rsidP="004D7E21">
      <w:pPr>
        <w:spacing w:line="360" w:lineRule="auto"/>
        <w:jc w:val="both"/>
        <w:rPr>
          <w:b/>
        </w:rPr>
      </w:pPr>
      <w:r w:rsidRPr="004D7E21">
        <w:rPr>
          <w:b/>
        </w:rPr>
        <w:t>Affiliations</w:t>
      </w:r>
    </w:p>
    <w:p w14:paraId="326AB4F9" w14:textId="77777777" w:rsidR="004D7E21" w:rsidRPr="004D7E21" w:rsidRDefault="004D7E21" w:rsidP="004D7E21">
      <w:pPr>
        <w:spacing w:line="360" w:lineRule="auto"/>
        <w:jc w:val="both"/>
      </w:pPr>
      <w:r w:rsidRPr="004D7E21">
        <w:rPr>
          <w:vertAlign w:val="superscript"/>
        </w:rPr>
        <w:t>1</w:t>
      </w:r>
      <w:r w:rsidRPr="004D7E21">
        <w:t>Department of Medical Laboratory Science, Debre Berhan University, Ethiopia</w:t>
      </w:r>
    </w:p>
    <w:p w14:paraId="42AD8D9F" w14:textId="77777777" w:rsidR="004D7E21" w:rsidRPr="004D7E21" w:rsidRDefault="004D7E21" w:rsidP="004D7E21">
      <w:pPr>
        <w:spacing w:line="360" w:lineRule="auto"/>
        <w:jc w:val="both"/>
      </w:pPr>
      <w:r w:rsidRPr="004D7E21">
        <w:rPr>
          <w:vertAlign w:val="superscript"/>
        </w:rPr>
        <w:t>2</w:t>
      </w:r>
      <w:r w:rsidRPr="004D7E21">
        <w:t xml:space="preserve">Department of Microbiology, Immunology and Parasitology, Addis Ababa University, Ethiopia </w:t>
      </w:r>
    </w:p>
    <w:p w14:paraId="171EEC73" w14:textId="77777777" w:rsidR="004D7E21" w:rsidRPr="004D7E21" w:rsidRDefault="004D7E21" w:rsidP="004D7E21">
      <w:pPr>
        <w:spacing w:line="360" w:lineRule="auto"/>
        <w:jc w:val="both"/>
      </w:pPr>
      <w:r w:rsidRPr="004D7E21">
        <w:rPr>
          <w:rStyle w:val="Hyperlink"/>
          <w:color w:val="auto"/>
          <w:vertAlign w:val="superscript"/>
          <w:lang w:val="fr-FR"/>
        </w:rPr>
        <w:t>3</w:t>
      </w:r>
      <w:r w:rsidRPr="004D7E21">
        <w:rPr>
          <w:rStyle w:val="Hyperlink"/>
          <w:color w:val="auto"/>
          <w:lang w:val="fr-FR"/>
        </w:rPr>
        <w:t xml:space="preserve">Armeur Hansen </w:t>
      </w:r>
      <w:proofErr w:type="spellStart"/>
      <w:r w:rsidRPr="004D7E21">
        <w:rPr>
          <w:rStyle w:val="Hyperlink"/>
          <w:color w:val="auto"/>
          <w:lang w:val="fr-FR"/>
        </w:rPr>
        <w:t>Research</w:t>
      </w:r>
      <w:proofErr w:type="spellEnd"/>
      <w:r w:rsidRPr="004D7E21">
        <w:rPr>
          <w:rStyle w:val="Hyperlink"/>
          <w:color w:val="auto"/>
          <w:lang w:val="fr-FR"/>
        </w:rPr>
        <w:t xml:space="preserve"> Institue (AHRI), </w:t>
      </w:r>
      <w:r w:rsidRPr="004D7E21">
        <w:t xml:space="preserve">Addis Ababa, Ethiopia </w:t>
      </w:r>
    </w:p>
    <w:p w14:paraId="1861A988" w14:textId="77777777" w:rsidR="004D7E21" w:rsidRPr="004D7E21" w:rsidRDefault="004D7E21" w:rsidP="004D7E21">
      <w:pPr>
        <w:spacing w:line="360" w:lineRule="auto"/>
        <w:jc w:val="both"/>
      </w:pPr>
      <w:r w:rsidRPr="004D7E21">
        <w:rPr>
          <w:vertAlign w:val="superscript"/>
        </w:rPr>
        <w:t>4</w:t>
      </w:r>
      <w:r w:rsidRPr="004D7E21">
        <w:t>Aklilu Lemma Institute of Pathobiology, Addis Ababa University, Ethiopia</w:t>
      </w:r>
    </w:p>
    <w:p w14:paraId="75B19142" w14:textId="77777777" w:rsidR="004D7E21" w:rsidRPr="004D7E21" w:rsidRDefault="004D7E21" w:rsidP="004D7E21">
      <w:pPr>
        <w:spacing w:line="360" w:lineRule="auto"/>
        <w:jc w:val="both"/>
      </w:pPr>
      <w:r w:rsidRPr="004D7E21">
        <w:rPr>
          <w:vertAlign w:val="superscript"/>
        </w:rPr>
        <w:t>5</w:t>
      </w:r>
      <w:r w:rsidRPr="004D7E21">
        <w:t xml:space="preserve">Ohio State University Global One Health LLC, Addis Ababa, Ethiopia </w:t>
      </w:r>
    </w:p>
    <w:p w14:paraId="381E7C6D" w14:textId="77777777" w:rsidR="004D7E21" w:rsidRPr="004D7E21" w:rsidRDefault="004D7E21" w:rsidP="004D7E21">
      <w:pPr>
        <w:spacing w:line="360" w:lineRule="auto"/>
        <w:jc w:val="both"/>
      </w:pPr>
      <w:r w:rsidRPr="004D7E21">
        <w:rPr>
          <w:vertAlign w:val="superscript"/>
        </w:rPr>
        <w:t>6</w:t>
      </w:r>
      <w:r w:rsidRPr="004D7E21">
        <w:t>The Life Science Centre - Biology, School of Science and Technology, Orebro University, Sweden</w:t>
      </w:r>
    </w:p>
    <w:p w14:paraId="04982736" w14:textId="77777777" w:rsidR="004D7E21" w:rsidRPr="004D7E21" w:rsidRDefault="00A47694" w:rsidP="004D7E21">
      <w:pPr>
        <w:spacing w:line="360" w:lineRule="auto"/>
        <w:jc w:val="both"/>
      </w:pPr>
      <w:hyperlink r:id="rId8" w:history="1">
        <w:r w:rsidR="004D7E21" w:rsidRPr="004D7E21">
          <w:rPr>
            <w:rStyle w:val="Hyperlink"/>
            <w:color w:val="auto"/>
          </w:rPr>
          <w:t>*tizazuzenebe@yahoo.com</w:t>
        </w:r>
      </w:hyperlink>
      <w:r w:rsidR="004D7E21" w:rsidRPr="004D7E21">
        <w:t xml:space="preserve"> </w:t>
      </w:r>
    </w:p>
    <w:p w14:paraId="5C24EC47" w14:textId="77777777" w:rsidR="004D7E21" w:rsidRPr="004D7E21" w:rsidRDefault="004D7E21" w:rsidP="004D7E21">
      <w:pPr>
        <w:spacing w:line="360" w:lineRule="auto"/>
        <w:jc w:val="both"/>
      </w:pPr>
    </w:p>
    <w:bookmarkEnd w:id="0"/>
    <w:p w14:paraId="013D3E6D" w14:textId="6A6602C1" w:rsidR="00D33D8C" w:rsidRPr="004D7E21" w:rsidRDefault="00684061">
      <w:pPr>
        <w:spacing w:line="360" w:lineRule="auto"/>
        <w:jc w:val="both"/>
        <w:rPr>
          <w:rFonts w:ascii="Arial" w:hAnsi="Arial" w:cs="Arial"/>
          <w:b/>
          <w:lang w:val="en-US"/>
        </w:rPr>
      </w:pPr>
      <w:r w:rsidRPr="004D7E21">
        <w:rPr>
          <w:rFonts w:ascii="Arial" w:hAnsi="Arial" w:cs="Arial"/>
          <w:b/>
          <w:lang w:val="en-US"/>
        </w:rPr>
        <w:t xml:space="preserve">Abstract </w:t>
      </w:r>
    </w:p>
    <w:p w14:paraId="093BEF10" w14:textId="3A6CDCF4" w:rsidR="00B4748E" w:rsidRPr="00392A04" w:rsidRDefault="004D7E21" w:rsidP="00392A04">
      <w:pPr>
        <w:spacing w:line="360" w:lineRule="auto"/>
        <w:jc w:val="both"/>
      </w:pPr>
      <w:r w:rsidRPr="00392A04">
        <w:t xml:space="preserve">Diarrhea is a serious health problem in children, with the highest mortality rate in sub-Saharan Africa. Diarrheagenic </w:t>
      </w:r>
      <w:r w:rsidRPr="00392A04">
        <w:rPr>
          <w:i/>
        </w:rPr>
        <w:t>Escherichia coli</w:t>
      </w:r>
      <w:r w:rsidRPr="00392A04">
        <w:t xml:space="preserve"> (DEC) is among the major bacterial causes of diarrhea in children under age five. The present study aims to determine molecular epidemiology and antimicrobial resistance profiles of DEC among children under age five</w:t>
      </w:r>
      <w:r w:rsidRPr="00392A04">
        <w:rPr>
          <w:shd w:val="clear" w:color="auto" w:fill="FFFFFF"/>
        </w:rPr>
        <w:t xml:space="preserve"> </w:t>
      </w:r>
      <w:r w:rsidRPr="00392A04">
        <w:t xml:space="preserve">in Central Ethiopia. </w:t>
      </w:r>
      <w:r w:rsidRPr="00392A04">
        <w:rPr>
          <w:shd w:val="clear" w:color="auto" w:fill="FFFFFF"/>
        </w:rPr>
        <w:t xml:space="preserve">A health facility-centered cross-sectional study was conducted in Addis Ababa and Debre Berhan, Ethiopia, from December 2020 to August 2021. A total of 476 specimens, 391 from diarrheic and 85 from non-diarrheic </w:t>
      </w:r>
      <w:r w:rsidRPr="00392A04">
        <w:t>children under age five</w:t>
      </w:r>
      <w:r w:rsidRPr="00392A04">
        <w:rPr>
          <w:shd w:val="clear" w:color="auto" w:fill="FFFFFF"/>
        </w:rPr>
        <w:t xml:space="preserve"> were collected. Bacterial isolation and identification, antimicrobial susceptibility, and pathotype and </w:t>
      </w:r>
      <w:r w:rsidRPr="00392A04">
        <w:t xml:space="preserve">ß-lactamase encoding genes </w:t>
      </w:r>
      <w:r w:rsidRPr="00392A04">
        <w:rPr>
          <w:shd w:val="clear" w:color="auto" w:fill="FFFFFF"/>
        </w:rPr>
        <w:t>detection using polymerase chain reaction (PCR) were done.</w:t>
      </w:r>
      <w:r w:rsidRPr="00392A04">
        <w:t xml:space="preserve"> Ethical clearance for the study was obtained from Intitutional and National Research Review Committe. </w:t>
      </w:r>
      <w:r w:rsidRPr="00392A04">
        <w:rPr>
          <w:bCs/>
          <w:shd w:val="clear" w:color="auto" w:fill="FFFFFF"/>
        </w:rPr>
        <w:t xml:space="preserve">Of the 476 specimens analyzed, </w:t>
      </w:r>
      <w:r w:rsidRPr="00392A04">
        <w:t xml:space="preserve">89.9% (428/476) </w:t>
      </w:r>
      <w:r w:rsidRPr="00392A04">
        <w:rPr>
          <w:bCs/>
          <w:shd w:val="clear" w:color="auto" w:fill="FFFFFF"/>
        </w:rPr>
        <w:t xml:space="preserve">were positive for </w:t>
      </w:r>
      <w:r w:rsidRPr="00392A04">
        <w:rPr>
          <w:bCs/>
          <w:i/>
          <w:shd w:val="clear" w:color="auto" w:fill="FFFFFF"/>
        </w:rPr>
        <w:t>E. coli</w:t>
      </w:r>
      <w:r w:rsidRPr="00392A04">
        <w:rPr>
          <w:bCs/>
          <w:shd w:val="clear" w:color="auto" w:fill="FFFFFF"/>
        </w:rPr>
        <w:t xml:space="preserve">, of which 183 were positive for one or more genes coding DEC pathotypes. The overall prevalence of the DEC pathotype was 38.2% (183/476). </w:t>
      </w:r>
      <w:r w:rsidRPr="00392A04">
        <w:t xml:space="preserve">The predominant DEC pathotype was </w:t>
      </w:r>
      <w:r w:rsidRPr="00392A04">
        <w:rPr>
          <w:shd w:val="clear" w:color="auto" w:fill="FFFFFF"/>
        </w:rPr>
        <w:t>enteroaggregative </w:t>
      </w:r>
      <w:r w:rsidRPr="00392A04">
        <w:rPr>
          <w:rStyle w:val="Emphasis"/>
          <w:shd w:val="clear" w:color="auto" w:fill="FFFFFF"/>
        </w:rPr>
        <w:t>E. coli</w:t>
      </w:r>
      <w:r w:rsidRPr="00392A04">
        <w:t xml:space="preserve"> (EAEC) (41.5%, 76/183), followed by </w:t>
      </w:r>
      <w:r w:rsidRPr="00392A04">
        <w:rPr>
          <w:shd w:val="clear" w:color="auto" w:fill="FFFFFF"/>
        </w:rPr>
        <w:t>enterotoxigenic </w:t>
      </w:r>
      <w:r w:rsidRPr="00392A04">
        <w:rPr>
          <w:i/>
          <w:iCs/>
        </w:rPr>
        <w:t>E. coli</w:t>
      </w:r>
      <w:r w:rsidRPr="00392A04">
        <w:t xml:space="preserve"> (21.3%, 39/183), </w:t>
      </w:r>
      <w:r w:rsidRPr="00392A04">
        <w:rPr>
          <w:shd w:val="clear" w:color="auto" w:fill="FFFFFF"/>
        </w:rPr>
        <w:t>enteropathogenic </w:t>
      </w:r>
      <w:r w:rsidRPr="00392A04">
        <w:rPr>
          <w:i/>
          <w:iCs/>
        </w:rPr>
        <w:t>E. coli</w:t>
      </w:r>
      <w:r w:rsidRPr="00392A04">
        <w:t xml:space="preserve"> (15.3%, 28/183), </w:t>
      </w:r>
      <w:r w:rsidRPr="00392A04">
        <w:rPr>
          <w:shd w:val="clear" w:color="auto" w:fill="FFFFFF"/>
        </w:rPr>
        <w:t>enteroinvasive </w:t>
      </w:r>
      <w:r w:rsidRPr="00392A04">
        <w:rPr>
          <w:i/>
          <w:iCs/>
        </w:rPr>
        <w:t>E. coli</w:t>
      </w:r>
      <w:r w:rsidRPr="00392A04">
        <w:t xml:space="preserve"> (12.6%, 23/183), hybrid strains (7.1%, 13/183), </w:t>
      </w:r>
      <w:r w:rsidRPr="00392A04">
        <w:rPr>
          <w:shd w:val="clear" w:color="auto" w:fill="FFFFFF"/>
        </w:rPr>
        <w:t>Shiga toxin-producing </w:t>
      </w:r>
      <w:r w:rsidRPr="00392A04">
        <w:rPr>
          <w:i/>
          <w:iCs/>
        </w:rPr>
        <w:t>E. coli</w:t>
      </w:r>
      <w:r w:rsidRPr="00392A04">
        <w:t xml:space="preserve"> (1.6%, 3/183), and </w:t>
      </w:r>
      <w:r w:rsidRPr="00392A04">
        <w:rPr>
          <w:shd w:val="clear" w:color="auto" w:fill="FFFFFF"/>
        </w:rPr>
        <w:t>diffusely-adherent </w:t>
      </w:r>
      <w:r w:rsidRPr="00392A04">
        <w:rPr>
          <w:i/>
          <w:iCs/>
        </w:rPr>
        <w:t>E. coli</w:t>
      </w:r>
      <w:r w:rsidRPr="00392A04">
        <w:t xml:space="preserve"> (0.6%, 1/183). </w:t>
      </w:r>
      <w:r w:rsidRPr="00392A04">
        <w:rPr>
          <w:lang w:eastAsia="en-GB"/>
        </w:rPr>
        <w:t>The m</w:t>
      </w:r>
      <w:r w:rsidRPr="00392A04">
        <w:t>ajority of the DEC pathotypes were resistant to ampicillin (95.1%, 174/183) and tetracycline (91.3%, 167/183). Multidrug resistance (MDR) was detected in 43.2% (79/183) of the pathotypes, whereas extended spectrum ß-</w:t>
      </w:r>
      <w:r w:rsidRPr="00392A04">
        <w:lastRenderedPageBreak/>
        <w:t>lactamase</w:t>
      </w:r>
      <w:r w:rsidRPr="00392A04">
        <w:rPr>
          <w:b/>
        </w:rPr>
        <w:t xml:space="preserve"> </w:t>
      </w:r>
      <w:r w:rsidRPr="00392A04">
        <w:t xml:space="preserve">and carbapenemase producers were 16.4% (30/183) and 2.2% (4/183), respectively. </w:t>
      </w:r>
      <w:r w:rsidR="00445D28" w:rsidRPr="00392A04">
        <w:t xml:space="preserve">The predominant β-lactamase genes identified was </w:t>
      </w:r>
      <w:r w:rsidR="00445D28" w:rsidRPr="00392A04">
        <w:rPr>
          <w:rStyle w:val="Emphasis"/>
        </w:rPr>
        <w:t>bla</w:t>
      </w:r>
      <w:r w:rsidR="00445D28" w:rsidRPr="00392A04">
        <w:rPr>
          <w:rStyle w:val="Emphasis"/>
          <w:vertAlign w:val="subscript"/>
        </w:rPr>
        <w:t>TEM</w:t>
      </w:r>
      <w:r w:rsidR="00445D28" w:rsidRPr="00392A04">
        <w:rPr>
          <w:rStyle w:val="Emphasis"/>
        </w:rPr>
        <w:t xml:space="preserve"> </w:t>
      </w:r>
      <w:r w:rsidR="00445D28" w:rsidRPr="00392A04">
        <w:t>(80%, 24/30)</w:t>
      </w:r>
      <w:r w:rsidR="00445D28" w:rsidRPr="00392A04">
        <w:rPr>
          <w:rStyle w:val="Emphasis"/>
        </w:rPr>
        <w:t xml:space="preserve"> followed by </w:t>
      </w:r>
      <w:r w:rsidR="00445D28" w:rsidRPr="00392A04">
        <w:rPr>
          <w:i/>
        </w:rPr>
        <w:t>bla</w:t>
      </w:r>
      <w:r w:rsidR="00445D28" w:rsidRPr="00392A04">
        <w:rPr>
          <w:vertAlign w:val="subscript"/>
        </w:rPr>
        <w:t>CTX</w:t>
      </w:r>
      <w:r w:rsidR="00445D28" w:rsidRPr="00392A04">
        <w:rPr>
          <w:rStyle w:val="Emphasis"/>
          <w:vertAlign w:val="subscript"/>
        </w:rPr>
        <w:t xml:space="preserve">-M </w:t>
      </w:r>
      <w:r w:rsidR="00445D28" w:rsidRPr="00392A04">
        <w:t>(73%, 22/30)</w:t>
      </w:r>
      <w:r w:rsidR="00445D28" w:rsidRPr="00392A04">
        <w:rPr>
          <w:rStyle w:val="Emphasis"/>
        </w:rPr>
        <w:t>,</w:t>
      </w:r>
      <w:r w:rsidR="00445D28" w:rsidRPr="00392A04">
        <w:t> </w:t>
      </w:r>
      <w:r w:rsidR="00445D28" w:rsidRPr="00392A04">
        <w:rPr>
          <w:rStyle w:val="Emphasis"/>
        </w:rPr>
        <w:t>bla</w:t>
      </w:r>
      <w:r w:rsidR="00445D28" w:rsidRPr="00392A04">
        <w:rPr>
          <w:rStyle w:val="Emphasis"/>
          <w:vertAlign w:val="subscript"/>
        </w:rPr>
        <w:t>SHV</w:t>
      </w:r>
      <w:r w:rsidR="00445D28" w:rsidRPr="00392A04">
        <w:t xml:space="preserve"> (60%, 18/30), </w:t>
      </w:r>
      <w:r w:rsidR="00445D28" w:rsidRPr="00392A04">
        <w:rPr>
          <w:rStyle w:val="Emphasis"/>
        </w:rPr>
        <w:t>bla</w:t>
      </w:r>
      <w:r w:rsidR="00445D28" w:rsidRPr="00392A04">
        <w:rPr>
          <w:vertAlign w:val="subscript"/>
        </w:rPr>
        <w:t>NDM</w:t>
      </w:r>
      <w:r w:rsidR="00445D28" w:rsidRPr="00392A04">
        <w:t xml:space="preserve"> (13%, 4/30)</w:t>
      </w:r>
      <w:r w:rsidR="00445D28" w:rsidRPr="00392A04">
        <w:rPr>
          <w:rStyle w:val="Emphasis"/>
        </w:rPr>
        <w:t>,</w:t>
      </w:r>
      <w:r w:rsidR="00445D28" w:rsidRPr="00392A04">
        <w:t> and </w:t>
      </w:r>
      <w:r w:rsidR="00445D28" w:rsidRPr="00392A04">
        <w:rPr>
          <w:rStyle w:val="Emphasis"/>
        </w:rPr>
        <w:t>bla</w:t>
      </w:r>
      <w:r w:rsidR="00445D28" w:rsidRPr="00392A04">
        <w:rPr>
          <w:vertAlign w:val="subscript"/>
        </w:rPr>
        <w:t>OXA</w:t>
      </w:r>
      <w:r w:rsidR="00445D28" w:rsidRPr="00392A04">
        <w:rPr>
          <w:rStyle w:val="Emphasis"/>
          <w:vertAlign w:val="subscript"/>
        </w:rPr>
        <w:t>-48</w:t>
      </w:r>
      <w:r w:rsidR="00445D28" w:rsidRPr="00392A04">
        <w:rPr>
          <w:vertAlign w:val="subscript"/>
        </w:rPr>
        <w:t> </w:t>
      </w:r>
      <w:r w:rsidR="00445D28" w:rsidRPr="00392A04">
        <w:t xml:space="preserve">(13%, 4/30).  All six common DEC pathotypes, and  the </w:t>
      </w:r>
      <w:r w:rsidR="00445D28" w:rsidRPr="00392A04">
        <w:rPr>
          <w:i/>
        </w:rPr>
        <w:t>bla</w:t>
      </w:r>
      <w:r w:rsidR="00445D28" w:rsidRPr="00392A04">
        <w:rPr>
          <w:i/>
          <w:vertAlign w:val="subscript"/>
        </w:rPr>
        <w:t>TEM</w:t>
      </w:r>
      <w:r w:rsidR="00445D28" w:rsidRPr="00392A04">
        <w:t xml:space="preserve">, </w:t>
      </w:r>
      <w:r w:rsidR="00445D28" w:rsidRPr="00392A04">
        <w:rPr>
          <w:i/>
        </w:rPr>
        <w:t>bla</w:t>
      </w:r>
      <w:r w:rsidR="00445D28" w:rsidRPr="00392A04">
        <w:rPr>
          <w:i/>
          <w:vertAlign w:val="subscript"/>
        </w:rPr>
        <w:t>CTX-M</w:t>
      </w:r>
      <w:r w:rsidR="00445D28" w:rsidRPr="00392A04">
        <w:t>, </w:t>
      </w:r>
      <w:r w:rsidR="00445D28" w:rsidRPr="00392A04">
        <w:rPr>
          <w:i/>
        </w:rPr>
        <w:t>bla</w:t>
      </w:r>
      <w:r w:rsidR="00445D28" w:rsidRPr="00392A04">
        <w:rPr>
          <w:i/>
          <w:vertAlign w:val="subscript"/>
        </w:rPr>
        <w:t>SHV</w:t>
      </w:r>
      <w:r w:rsidR="00445D28" w:rsidRPr="00392A04">
        <w:t xml:space="preserve">, </w:t>
      </w:r>
      <w:r w:rsidR="00445D28" w:rsidRPr="00392A04">
        <w:rPr>
          <w:i/>
        </w:rPr>
        <w:t>bla</w:t>
      </w:r>
      <w:r w:rsidR="00445D28" w:rsidRPr="00392A04">
        <w:rPr>
          <w:i/>
          <w:vertAlign w:val="subscript"/>
        </w:rPr>
        <w:t>NDM</w:t>
      </w:r>
      <w:r w:rsidR="00445D28" w:rsidRPr="00392A04">
        <w:t>, and </w:t>
      </w:r>
      <w:r w:rsidR="00445D28" w:rsidRPr="00392A04">
        <w:rPr>
          <w:i/>
        </w:rPr>
        <w:t>bla</w:t>
      </w:r>
      <w:r w:rsidR="00445D28" w:rsidRPr="00392A04">
        <w:rPr>
          <w:i/>
          <w:vertAlign w:val="subscript"/>
        </w:rPr>
        <w:t>OXA-48</w:t>
      </w:r>
      <w:r w:rsidR="00445D28" w:rsidRPr="00392A04">
        <w:t>, that were associated with serious and urgent threats globally, were detected from under-five children in Ethiopia</w:t>
      </w:r>
      <w:r w:rsidR="00445D28" w:rsidRPr="00392A04">
        <w:rPr>
          <w:rFonts w:eastAsia="Calibri"/>
        </w:rPr>
        <w:t>.</w:t>
      </w:r>
      <w:r w:rsidR="00392A04" w:rsidRPr="00392A04">
        <w:rPr>
          <w:rFonts w:eastAsia="Calibri"/>
        </w:rPr>
        <w:t xml:space="preserve"> </w:t>
      </w:r>
      <w:r w:rsidR="00AC0F7E" w:rsidRPr="00392A04">
        <w:t xml:space="preserve">Generally, DEC has the potential to be a big concern in under-five children in Ethiopia. </w:t>
      </w:r>
    </w:p>
    <w:p w14:paraId="7E89A5FB" w14:textId="77777777" w:rsidR="00684061" w:rsidRPr="004D7E21" w:rsidRDefault="00684061">
      <w:pPr>
        <w:spacing w:line="360" w:lineRule="auto"/>
        <w:jc w:val="both"/>
        <w:rPr>
          <w:rFonts w:ascii="Arial" w:hAnsi="Arial" w:cs="Arial"/>
          <w:b/>
          <w:lang w:val="en-US"/>
        </w:rPr>
      </w:pPr>
    </w:p>
    <w:p w14:paraId="41880D96" w14:textId="77777777" w:rsidR="002F77E4" w:rsidRPr="004D7E21" w:rsidRDefault="002F77E4">
      <w:pPr>
        <w:pStyle w:val="BodyText2"/>
        <w:spacing w:line="360" w:lineRule="auto"/>
        <w:rPr>
          <w:rFonts w:eastAsia="Arial Unicode MS"/>
          <w:vanish/>
        </w:rPr>
      </w:pPr>
    </w:p>
    <w:p w14:paraId="1B7E14C0" w14:textId="77777777" w:rsidR="002F77E4" w:rsidRDefault="002F77E4">
      <w:pPr>
        <w:pStyle w:val="BodyText2"/>
        <w:spacing w:line="360" w:lineRule="auto"/>
        <w:rPr>
          <w:lang w:val="en-US"/>
        </w:rPr>
      </w:pPr>
    </w:p>
    <w:p w14:paraId="203F675D" w14:textId="77777777" w:rsidR="00D57B51" w:rsidRPr="004D7E21" w:rsidRDefault="00D57B51">
      <w:pPr>
        <w:pStyle w:val="BodyText2"/>
        <w:spacing w:line="360" w:lineRule="auto"/>
        <w:rPr>
          <w:lang w:val="en-US"/>
        </w:rPr>
      </w:pPr>
      <w:bookmarkStart w:id="1" w:name="_GoBack"/>
      <w:bookmarkEnd w:id="1"/>
    </w:p>
    <w:sectPr w:rsidR="00D57B51" w:rsidRPr="004D7E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5976F" w14:textId="77777777" w:rsidR="00A47694" w:rsidRDefault="00A47694" w:rsidP="00D156CD">
      <w:r>
        <w:separator/>
      </w:r>
    </w:p>
  </w:endnote>
  <w:endnote w:type="continuationSeparator" w:id="0">
    <w:p w14:paraId="37A6A658" w14:textId="77777777" w:rsidR="00A47694" w:rsidRDefault="00A47694" w:rsidP="00D1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8FC63" w14:textId="77777777" w:rsidR="00A47694" w:rsidRDefault="00A47694" w:rsidP="00D156CD">
      <w:r>
        <w:separator/>
      </w:r>
    </w:p>
  </w:footnote>
  <w:footnote w:type="continuationSeparator" w:id="0">
    <w:p w14:paraId="51A99EFD" w14:textId="77777777" w:rsidR="00A47694" w:rsidRDefault="00A47694" w:rsidP="00D15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659"/>
    <w:multiLevelType w:val="hybridMultilevel"/>
    <w:tmpl w:val="5BF079E6"/>
    <w:lvl w:ilvl="0" w:tplc="0CA8E7BA">
      <w:start w:val="1"/>
      <w:numFmt w:val="bullet"/>
      <w:lvlText w:val="•"/>
      <w:lvlJc w:val="left"/>
      <w:pPr>
        <w:tabs>
          <w:tab w:val="num" w:pos="720"/>
        </w:tabs>
        <w:ind w:left="720" w:hanging="360"/>
      </w:pPr>
      <w:rPr>
        <w:rFonts w:ascii="Arial" w:hAnsi="Arial" w:hint="default"/>
      </w:rPr>
    </w:lvl>
    <w:lvl w:ilvl="1" w:tplc="754A183A" w:tentative="1">
      <w:start w:val="1"/>
      <w:numFmt w:val="bullet"/>
      <w:lvlText w:val="•"/>
      <w:lvlJc w:val="left"/>
      <w:pPr>
        <w:tabs>
          <w:tab w:val="num" w:pos="1440"/>
        </w:tabs>
        <w:ind w:left="1440" w:hanging="360"/>
      </w:pPr>
      <w:rPr>
        <w:rFonts w:ascii="Arial" w:hAnsi="Arial" w:hint="default"/>
      </w:rPr>
    </w:lvl>
    <w:lvl w:ilvl="2" w:tplc="E31C283C">
      <w:start w:val="1"/>
      <w:numFmt w:val="bullet"/>
      <w:lvlText w:val="•"/>
      <w:lvlJc w:val="left"/>
      <w:pPr>
        <w:tabs>
          <w:tab w:val="num" w:pos="2160"/>
        </w:tabs>
        <w:ind w:left="2160" w:hanging="360"/>
      </w:pPr>
      <w:rPr>
        <w:rFonts w:ascii="Arial" w:hAnsi="Arial" w:hint="default"/>
      </w:rPr>
    </w:lvl>
    <w:lvl w:ilvl="3" w:tplc="D612295E" w:tentative="1">
      <w:start w:val="1"/>
      <w:numFmt w:val="bullet"/>
      <w:lvlText w:val="•"/>
      <w:lvlJc w:val="left"/>
      <w:pPr>
        <w:tabs>
          <w:tab w:val="num" w:pos="2880"/>
        </w:tabs>
        <w:ind w:left="2880" w:hanging="360"/>
      </w:pPr>
      <w:rPr>
        <w:rFonts w:ascii="Arial" w:hAnsi="Arial" w:hint="default"/>
      </w:rPr>
    </w:lvl>
    <w:lvl w:ilvl="4" w:tplc="718454E4" w:tentative="1">
      <w:start w:val="1"/>
      <w:numFmt w:val="bullet"/>
      <w:lvlText w:val="•"/>
      <w:lvlJc w:val="left"/>
      <w:pPr>
        <w:tabs>
          <w:tab w:val="num" w:pos="3600"/>
        </w:tabs>
        <w:ind w:left="3600" w:hanging="360"/>
      </w:pPr>
      <w:rPr>
        <w:rFonts w:ascii="Arial" w:hAnsi="Arial" w:hint="default"/>
      </w:rPr>
    </w:lvl>
    <w:lvl w:ilvl="5" w:tplc="2B14E9B2" w:tentative="1">
      <w:start w:val="1"/>
      <w:numFmt w:val="bullet"/>
      <w:lvlText w:val="•"/>
      <w:lvlJc w:val="left"/>
      <w:pPr>
        <w:tabs>
          <w:tab w:val="num" w:pos="4320"/>
        </w:tabs>
        <w:ind w:left="4320" w:hanging="360"/>
      </w:pPr>
      <w:rPr>
        <w:rFonts w:ascii="Arial" w:hAnsi="Arial" w:hint="default"/>
      </w:rPr>
    </w:lvl>
    <w:lvl w:ilvl="6" w:tplc="E19A53BC" w:tentative="1">
      <w:start w:val="1"/>
      <w:numFmt w:val="bullet"/>
      <w:lvlText w:val="•"/>
      <w:lvlJc w:val="left"/>
      <w:pPr>
        <w:tabs>
          <w:tab w:val="num" w:pos="5040"/>
        </w:tabs>
        <w:ind w:left="5040" w:hanging="360"/>
      </w:pPr>
      <w:rPr>
        <w:rFonts w:ascii="Arial" w:hAnsi="Arial" w:hint="default"/>
      </w:rPr>
    </w:lvl>
    <w:lvl w:ilvl="7" w:tplc="E2FC71D6" w:tentative="1">
      <w:start w:val="1"/>
      <w:numFmt w:val="bullet"/>
      <w:lvlText w:val="•"/>
      <w:lvlJc w:val="left"/>
      <w:pPr>
        <w:tabs>
          <w:tab w:val="num" w:pos="5760"/>
        </w:tabs>
        <w:ind w:left="5760" w:hanging="360"/>
      </w:pPr>
      <w:rPr>
        <w:rFonts w:ascii="Arial" w:hAnsi="Arial" w:hint="default"/>
      </w:rPr>
    </w:lvl>
    <w:lvl w:ilvl="8" w:tplc="A1FE2EF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48"/>
    <w:rsid w:val="000D67EE"/>
    <w:rsid w:val="002773F4"/>
    <w:rsid w:val="002F43DC"/>
    <w:rsid w:val="002F77E4"/>
    <w:rsid w:val="00344683"/>
    <w:rsid w:val="0035150F"/>
    <w:rsid w:val="003545A2"/>
    <w:rsid w:val="00392A04"/>
    <w:rsid w:val="003E4965"/>
    <w:rsid w:val="004354F3"/>
    <w:rsid w:val="00445D28"/>
    <w:rsid w:val="004A2275"/>
    <w:rsid w:val="004C6344"/>
    <w:rsid w:val="004D7E21"/>
    <w:rsid w:val="006046D0"/>
    <w:rsid w:val="00614D47"/>
    <w:rsid w:val="00684061"/>
    <w:rsid w:val="00716BA0"/>
    <w:rsid w:val="00785AF9"/>
    <w:rsid w:val="00817415"/>
    <w:rsid w:val="00866746"/>
    <w:rsid w:val="008717DB"/>
    <w:rsid w:val="0089657E"/>
    <w:rsid w:val="009F640B"/>
    <w:rsid w:val="00A47694"/>
    <w:rsid w:val="00AC0F7E"/>
    <w:rsid w:val="00AC3542"/>
    <w:rsid w:val="00AE3903"/>
    <w:rsid w:val="00AF1AB7"/>
    <w:rsid w:val="00B4748E"/>
    <w:rsid w:val="00BD487E"/>
    <w:rsid w:val="00C81F97"/>
    <w:rsid w:val="00D156CD"/>
    <w:rsid w:val="00D33D8C"/>
    <w:rsid w:val="00D432D9"/>
    <w:rsid w:val="00D57B51"/>
    <w:rsid w:val="00D7764F"/>
    <w:rsid w:val="00EE68BB"/>
    <w:rsid w:val="00F30D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6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1134"/>
      <w:jc w:val="both"/>
    </w:pPr>
    <w:rPr>
      <w:szCs w:val="20"/>
    </w:rPr>
  </w:style>
  <w:style w:type="paragraph" w:customStyle="1" w:styleId="Corpodeltesto">
    <w:name w:val="Corpo del testo"/>
    <w:basedOn w:val="Normal"/>
    <w:pPr>
      <w:jc w:val="both"/>
    </w:pPr>
    <w:rPr>
      <w:lang w:val="en-US"/>
    </w:rPr>
  </w:style>
  <w:style w:type="paragraph" w:styleId="Header">
    <w:name w:val="header"/>
    <w:basedOn w:val="Normal"/>
    <w:rsid w:val="00344683"/>
    <w:pPr>
      <w:tabs>
        <w:tab w:val="center" w:pos="4819"/>
        <w:tab w:val="right" w:pos="9638"/>
      </w:tabs>
    </w:pPr>
  </w:style>
  <w:style w:type="paragraph" w:styleId="Footer">
    <w:name w:val="footer"/>
    <w:basedOn w:val="Normal"/>
    <w:rsid w:val="00344683"/>
    <w:pPr>
      <w:tabs>
        <w:tab w:val="center" w:pos="4819"/>
        <w:tab w:val="right" w:pos="9638"/>
      </w:tabs>
    </w:pPr>
  </w:style>
  <w:style w:type="character" w:styleId="Hyperlink">
    <w:name w:val="Hyperlink"/>
    <w:uiPriority w:val="99"/>
    <w:unhideWhenUsed/>
    <w:rsid w:val="004D7E21"/>
    <w:rPr>
      <w:color w:val="0000FF"/>
      <w:u w:val="single"/>
    </w:rPr>
  </w:style>
  <w:style w:type="character" w:styleId="Emphasis">
    <w:name w:val="Emphasis"/>
    <w:uiPriority w:val="20"/>
    <w:qFormat/>
    <w:rsid w:val="004D7E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1134"/>
      <w:jc w:val="both"/>
    </w:pPr>
    <w:rPr>
      <w:szCs w:val="20"/>
    </w:rPr>
  </w:style>
  <w:style w:type="paragraph" w:customStyle="1" w:styleId="Corpodeltesto">
    <w:name w:val="Corpo del testo"/>
    <w:basedOn w:val="Normal"/>
    <w:pPr>
      <w:jc w:val="both"/>
    </w:pPr>
    <w:rPr>
      <w:lang w:val="en-US"/>
    </w:rPr>
  </w:style>
  <w:style w:type="paragraph" w:styleId="Header">
    <w:name w:val="header"/>
    <w:basedOn w:val="Normal"/>
    <w:rsid w:val="00344683"/>
    <w:pPr>
      <w:tabs>
        <w:tab w:val="center" w:pos="4819"/>
        <w:tab w:val="right" w:pos="9638"/>
      </w:tabs>
    </w:pPr>
  </w:style>
  <w:style w:type="paragraph" w:styleId="Footer">
    <w:name w:val="footer"/>
    <w:basedOn w:val="Normal"/>
    <w:rsid w:val="00344683"/>
    <w:pPr>
      <w:tabs>
        <w:tab w:val="center" w:pos="4819"/>
        <w:tab w:val="right" w:pos="9638"/>
      </w:tabs>
    </w:pPr>
  </w:style>
  <w:style w:type="character" w:styleId="Hyperlink">
    <w:name w:val="Hyperlink"/>
    <w:uiPriority w:val="99"/>
    <w:unhideWhenUsed/>
    <w:rsid w:val="004D7E21"/>
    <w:rPr>
      <w:color w:val="0000FF"/>
      <w:u w:val="single"/>
    </w:rPr>
  </w:style>
  <w:style w:type="character" w:styleId="Emphasis">
    <w:name w:val="Emphasis"/>
    <w:uiPriority w:val="20"/>
    <w:qFormat/>
    <w:rsid w:val="004D7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4661">
      <w:bodyDiv w:val="1"/>
      <w:marLeft w:val="0"/>
      <w:marRight w:val="0"/>
      <w:marTop w:val="0"/>
      <w:marBottom w:val="0"/>
      <w:divBdr>
        <w:top w:val="none" w:sz="0" w:space="0" w:color="auto"/>
        <w:left w:val="none" w:sz="0" w:space="0" w:color="auto"/>
        <w:bottom w:val="none" w:sz="0" w:space="0" w:color="auto"/>
        <w:right w:val="none" w:sz="0" w:space="0" w:color="auto"/>
      </w:divBdr>
      <w:divsChild>
        <w:div w:id="153669425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zazuzenebe@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471</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E-Meeting &amp; Consulting</dc:creator>
  <cp:keywords/>
  <dc:description/>
  <cp:lastModifiedBy>cmd</cp:lastModifiedBy>
  <cp:revision>6</cp:revision>
  <dcterms:created xsi:type="dcterms:W3CDTF">2023-10-02T17:03:00Z</dcterms:created>
  <dcterms:modified xsi:type="dcterms:W3CDTF">2023-12-07T14:08:00Z</dcterms:modified>
</cp:coreProperties>
</file>