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3A" w:rsidRDefault="0004525A">
      <w:p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0" distR="0" simplePos="0" relativeHeight="2" behindDoc="0" locked="0" layoutInCell="1" allowOverlap="1">
                <wp:simplePos x="0" y="0"/>
                <wp:positionH relativeFrom="column">
                  <wp:posOffset>4251960</wp:posOffset>
                </wp:positionH>
                <wp:positionV relativeFrom="paragraph">
                  <wp:posOffset>304800</wp:posOffset>
                </wp:positionV>
                <wp:extent cx="1463040" cy="1569720"/>
                <wp:effectExtent l="0" t="0" r="3810" b="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1569720"/>
                        </a:xfrm>
                        <a:prstGeom prst="rect">
                          <a:avLst/>
                        </a:prstGeom>
                        <a:solidFill>
                          <a:srgbClr val="FFFFFF"/>
                        </a:solidFill>
                        <a:ln>
                          <a:noFill/>
                        </a:ln>
                      </wps:spPr>
                      <wps:txbx>
                        <w:txbxContent>
                          <w:p w:rsidR="00EA063A" w:rsidRDefault="0004525A">
                            <w:r>
                              <w:rPr>
                                <w:rFonts w:ascii="Times New Roman" w:hAnsi="Times New Roman" w:cs="Times New Roman"/>
                                <w:noProof/>
                                <w:sz w:val="24"/>
                                <w:szCs w:val="24"/>
                              </w:rPr>
                              <w:drawing>
                                <wp:inline distT="0" distB="0" distL="0" distR="0">
                                  <wp:extent cx="1273810" cy="1499381"/>
                                  <wp:effectExtent l="0" t="0" r="2540" b="5715"/>
                                  <wp:docPr id="2049" name="Picture 1" descr="C:\Users\ZINOX\AppData\Local\Microsoft\Windows\INetCache\Content.Word\IMG_20221011_12582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1273810" cy="1499381"/>
                                          </a:xfrm>
                                          <a:prstGeom prst="rect">
                                            <a:avLst/>
                                          </a:prstGeom>
                                          <a:ln>
                                            <a:noFill/>
                                          </a:ln>
                                        </pic:spPr>
                                      </pic:pic>
                                    </a:graphicData>
                                  </a:graphic>
                                </wp:inline>
                              </w:drawing>
                            </w:r>
                          </w:p>
                        </w:txbxContent>
                      </wps:txbx>
                      <wps:bodyPr vert="horz" wrap="square" lIns="91440" tIns="45720" rIns="91440" bIns="45720" anchor="t">
                        <a:prstTxWarp prst="textNoShape">
                          <a:avLst/>
                        </a:prstTxWarp>
                        <a:noAutofit/>
                      </wps:bodyPr>
                    </wps:wsp>
                  </a:graphicData>
                </a:graphic>
              </wp:anchor>
            </w:drawing>
          </mc:Choice>
          <mc:Fallback xmlns:wpsCustomData="http://www.wps.cn/officeDocument/2013/wpsCustomData">
            <w:pict>
              <v:rect id="1026" fillcolor="white" stroked="f" style="position:absolute;margin-left:334.8pt;margin-top:24.0pt;width:115.2pt;height:123.6pt;z-index:2;mso-position-horizontal-relative:text;mso-position-vertical-relative:text;mso-width-relative:page;mso-height-relative:page;mso-wrap-distance-left:0.0pt;mso-wrap-distance-right:0.0pt;visibility:visible;">
                <v:stroke on="f"/>
                <v:fill/>
                <v:textbox inset="7.2pt,3.6pt,7.2pt,3.6pt">
                  <w:txbxContent>
                    <w:p>
                      <w:pPr>
                        <w:pStyle w:val="style0"/>
                        <w:rPr/>
                      </w:pPr>
                      <w:r>
                        <w:rPr>
                          <w:rFonts w:ascii="Times New Roman" w:cs="Times New Roman" w:hAnsi="Times New Roman"/>
                          <w:noProof/>
                          <w:sz w:val="24"/>
                          <w:szCs w:val="24"/>
                        </w:rPr>
                        <w:drawing>
                          <wp:inline distL="0" distT="0" distB="0" distR="0">
                            <wp:extent cx="1273810" cy="1499381"/>
                            <wp:effectExtent l="0" t="0" r="2540" b="5715"/>
                            <wp:docPr id="2049" name="Picture 1" descr="C:\Users\ZINOX\AppData\Local\Microsoft\Windows\INetCache\Content.Word\IMG_20221011_12582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l="0" t="0" r="0" b="0"/>
                                    <a:stretch/>
                                  </pic:blipFill>
                                  <pic:spPr>
                                    <a:xfrm rot="0">
                                      <a:off x="0" y="0"/>
                                      <a:ext cx="1273810" cy="1499381"/>
                                    </a:xfrm>
                                    <a:prstGeom prst="rect"/>
                                    <a:ln>
                                      <a:noFill/>
                                    </a:ln>
                                  </pic:spPr>
                                </pic:pic>
                              </a:graphicData>
                            </a:graphic>
                          </wp:inline>
                        </w:drawing>
                      </w:r>
                    </w:p>
                  </w:txbxContent>
                </v:textbox>
              </v:rect>
            </w:pict>
          </mc:Fallback>
        </mc:AlternateContent>
      </w:r>
      <w:r>
        <w:rPr>
          <w:rFonts w:ascii="Times New Roman" w:hAnsi="Times New Roman" w:cs="Times New Roman"/>
          <w:b/>
          <w:sz w:val="24"/>
          <w:szCs w:val="24"/>
        </w:rPr>
        <w:t>Presentation Title</w:t>
      </w:r>
      <w:r>
        <w:rPr>
          <w:rFonts w:ascii="Times New Roman" w:hAnsi="Times New Roman" w:cs="Times New Roman"/>
          <w:sz w:val="24"/>
          <w:szCs w:val="24"/>
        </w:rPr>
        <w:t xml:space="preserve">: </w:t>
      </w:r>
      <w:r>
        <w:rPr>
          <w:rFonts w:ascii="Times New Roman" w:hAnsi="Times New Roman" w:cs="Times New Roman"/>
          <w:sz w:val="24"/>
          <w:szCs w:val="24"/>
        </w:rPr>
        <w:t xml:space="preserve">Analytical Profile </w:t>
      </w:r>
      <w:r>
        <w:rPr>
          <w:rFonts w:ascii="Times New Roman" w:hAnsi="Times New Roman" w:cs="Times New Roman"/>
          <w:sz w:val="24"/>
          <w:szCs w:val="24"/>
        </w:rPr>
        <w:t xml:space="preserve">of Immunity-Boosting </w:t>
      </w:r>
      <w:r>
        <w:rPr>
          <w:rFonts w:ascii="Times New Roman" w:hAnsi="Times New Roman" w:cs="Times New Roman"/>
          <w:sz w:val="24"/>
          <w:szCs w:val="24"/>
        </w:rPr>
        <w:t>Element</w:t>
      </w:r>
      <w:r>
        <w:rPr>
          <w:rFonts w:ascii="Times New Roman" w:hAnsi="Times New Roman" w:cs="Times New Roman"/>
          <w:sz w:val="24"/>
          <w:szCs w:val="24"/>
        </w:rPr>
        <w:t>s and Vitamins in Edible Indigenous Fruits found in Plateau State</w:t>
      </w:r>
    </w:p>
    <w:p w:rsidR="00EA063A" w:rsidRDefault="0004525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Corresponding Author name</w:t>
      </w:r>
      <w:r>
        <w:rPr>
          <w:rFonts w:ascii="Times New Roman" w:hAnsi="Times New Roman" w:cs="Times New Roman"/>
          <w:sz w:val="24"/>
          <w:szCs w:val="24"/>
        </w:rPr>
        <w:t xml:space="preserve">: Grace Michael Dalyop                             </w:t>
      </w:r>
    </w:p>
    <w:p w:rsidR="00EA063A" w:rsidRDefault="0004525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Affiliation</w:t>
      </w:r>
      <w:r>
        <w:rPr>
          <w:rFonts w:ascii="Times New Roman" w:hAnsi="Times New Roman" w:cs="Times New Roman"/>
          <w:sz w:val="24"/>
          <w:szCs w:val="24"/>
        </w:rPr>
        <w:t>:</w:t>
      </w:r>
      <w:r>
        <w:rPr>
          <w:rFonts w:ascii="Times New Roman" w:hAnsi="Times New Roman" w:cs="Times New Roman"/>
          <w:sz w:val="24"/>
          <w:szCs w:val="24"/>
        </w:rPr>
        <w:t xml:space="preserve"> Chemistry Department, University of Jos                        </w:t>
      </w:r>
    </w:p>
    <w:p w:rsidR="00EA063A" w:rsidRDefault="0004525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Phone No:</w:t>
      </w:r>
      <w:r>
        <w:rPr>
          <w:rFonts w:ascii="Times New Roman" w:hAnsi="Times New Roman" w:cs="Times New Roman"/>
          <w:sz w:val="24"/>
          <w:szCs w:val="24"/>
        </w:rPr>
        <w:t xml:space="preserve"> +2348136217332                                                          </w:t>
      </w:r>
    </w:p>
    <w:p w:rsidR="00EA063A" w:rsidRDefault="0004525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Email ID’s</w:t>
      </w:r>
      <w:r>
        <w:rPr>
          <w:rFonts w:ascii="Times New Roman" w:hAnsi="Times New Roman" w:cs="Times New Roman"/>
          <w:sz w:val="24"/>
          <w:szCs w:val="24"/>
        </w:rPr>
        <w:t xml:space="preserve">: </w:t>
      </w:r>
      <w:hyperlink r:id="rId7" w:history="1">
        <w:r>
          <w:rPr>
            <w:rStyle w:val="Hyperlink"/>
            <w:rFonts w:ascii="Times New Roman" w:hAnsi="Times New Roman" w:cs="Times New Roman"/>
            <w:sz w:val="24"/>
            <w:szCs w:val="24"/>
          </w:rPr>
          <w:t>gracemichaeldalyop@gmail.com</w:t>
        </w:r>
      </w:hyperlink>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063A" w:rsidRDefault="0004525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WhatsApp No:</w:t>
      </w:r>
      <w:r>
        <w:rPr>
          <w:rFonts w:ascii="Times New Roman" w:hAnsi="Times New Roman" w:cs="Times New Roman"/>
          <w:sz w:val="24"/>
          <w:szCs w:val="24"/>
        </w:rPr>
        <w:t xml:space="preserve"> +2348136217332                                                              </w:t>
      </w:r>
    </w:p>
    <w:p w:rsidR="00EA063A" w:rsidRDefault="0004525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Any alternative number</w:t>
      </w:r>
      <w:r>
        <w:rPr>
          <w:rFonts w:ascii="Times New Roman" w:hAnsi="Times New Roman" w:cs="Times New Roman"/>
          <w:sz w:val="24"/>
          <w:szCs w:val="24"/>
        </w:rPr>
        <w:t xml:space="preserve">: +2348065359048                                    </w:t>
      </w:r>
    </w:p>
    <w:p w:rsidR="00EA063A" w:rsidRDefault="0004525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Other Authors if any</w:t>
      </w:r>
      <w:r>
        <w:rPr>
          <w:rFonts w:ascii="Times New Roman" w:hAnsi="Times New Roman" w:cs="Times New Roman"/>
          <w:sz w:val="24"/>
          <w:szCs w:val="24"/>
        </w:rPr>
        <w:t xml:space="preserve">: John S. Gushit                    </w:t>
      </w:r>
      <w:r>
        <w:rPr>
          <w:rFonts w:ascii="Times New Roman" w:hAnsi="Times New Roman" w:cs="Times New Roman"/>
          <w:sz w:val="24"/>
          <w:szCs w:val="24"/>
        </w:rPr>
        <w:t xml:space="preserve">                </w:t>
      </w:r>
    </w:p>
    <w:p w:rsidR="00EA063A" w:rsidRDefault="0004525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Presentation type</w:t>
      </w:r>
      <w:r w:rsidR="007F4623">
        <w:rPr>
          <w:rFonts w:ascii="Times New Roman" w:hAnsi="Times New Roman" w:cs="Times New Roman"/>
          <w:sz w:val="24"/>
          <w:szCs w:val="24"/>
        </w:rPr>
        <w:t>: Oral presentation</w:t>
      </w:r>
    </w:p>
    <w:p w:rsidR="007F4623" w:rsidRDefault="007F4623">
      <w:pPr>
        <w:spacing w:after="0" w:line="240" w:lineRule="auto"/>
        <w:jc w:val="both"/>
        <w:rPr>
          <w:rFonts w:ascii="Times New Roman" w:hAnsi="Times New Roman" w:cs="Times New Roman"/>
          <w:sz w:val="24"/>
          <w:szCs w:val="24"/>
        </w:rPr>
      </w:pPr>
    </w:p>
    <w:p w:rsidR="00EA063A" w:rsidRDefault="000452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Abstract</w:t>
      </w:r>
      <w:r>
        <w:rPr>
          <w:rFonts w:ascii="Times New Roman" w:hAnsi="Times New Roman" w:cs="Times New Roman"/>
          <w:b/>
          <w:sz w:val="24"/>
          <w:szCs w:val="24"/>
        </w:rPr>
        <w:t>:</w:t>
      </w:r>
    </w:p>
    <w:p w:rsidR="00EA063A" w:rsidRDefault="0004525A" w:rsidP="007F4623">
      <w:pPr>
        <w:spacing w:line="240" w:lineRule="auto"/>
        <w:jc w:val="both"/>
        <w:rPr>
          <w:rFonts w:ascii="Times New Roman" w:hAnsi="Times New Roman" w:cs="Times New Roman"/>
        </w:rPr>
      </w:pPr>
      <w:r>
        <w:rPr>
          <w:rFonts w:ascii="Times New Roman" w:hAnsi="Times New Roman" w:cs="Times New Roman"/>
        </w:rPr>
        <w:t>Micronutrients known to boost immunity such as vitamin C, vitamin E, Zinc, Copper, Iron, and Selenium, mu</w:t>
      </w:r>
      <w:r>
        <w:rPr>
          <w:rFonts w:ascii="Times New Roman" w:hAnsi="Times New Roman"/>
        </w:rPr>
        <w:t xml:space="preserve">st be adequately ingested for </w:t>
      </w:r>
      <w:r>
        <w:rPr>
          <w:rFonts w:ascii="Times New Roman" w:hAnsi="Times New Roman" w:cs="Times New Roman"/>
        </w:rPr>
        <w:t xml:space="preserve">the immune </w:t>
      </w:r>
      <w:r>
        <w:rPr>
          <w:rFonts w:ascii="Times New Roman" w:hAnsi="Times New Roman" w:cs="Times New Roman"/>
        </w:rPr>
        <w:t>system to function efficiently. Indigenous fruits in Plateau State, Nigeria, are rich sources of these micronutrients, yet many are underutilized due to limited awareness of their nutritional value. Eight indigenous fruits</w:t>
      </w:r>
      <w:r>
        <w:rPr>
          <w:rFonts w:ascii="Times New Roman" w:hAnsi="Times New Roman"/>
        </w:rPr>
        <w:t xml:space="preserve"> identified as </w:t>
      </w:r>
      <w:r>
        <w:rPr>
          <w:rFonts w:ascii="Times New Roman" w:hAnsi="Times New Roman" w:cs="Times New Roman"/>
          <w:i/>
        </w:rPr>
        <w:t xml:space="preserve">Cola millenni </w:t>
      </w:r>
      <w:r>
        <w:rPr>
          <w:rFonts w:ascii="Times New Roman" w:hAnsi="Times New Roman" w:cs="Times New Roman"/>
        </w:rPr>
        <w:t>K.Sch</w:t>
      </w:r>
      <w:r>
        <w:rPr>
          <w:rFonts w:ascii="Times New Roman" w:hAnsi="Times New Roman" w:cs="Times New Roman"/>
        </w:rPr>
        <w:t>um</w:t>
      </w:r>
      <w:r>
        <w:rPr>
          <w:rFonts w:ascii="Times New Roman" w:hAnsi="Times New Roman" w:cs="Times New Roman"/>
          <w:i/>
        </w:rPr>
        <w:t xml:space="preserve">, </w:t>
      </w:r>
      <w:r>
        <w:rPr>
          <w:rFonts w:ascii="Times New Roman" w:hAnsi="Times New Roman" w:cs="Times New Roman"/>
          <w:i/>
          <w:noProof/>
        </w:rPr>
        <w:t xml:space="preserve">Uvaria chamae </w:t>
      </w:r>
      <w:r>
        <w:rPr>
          <w:rFonts w:ascii="Times New Roman" w:hAnsi="Times New Roman" w:cs="Times New Roman"/>
          <w:noProof/>
        </w:rPr>
        <w:t>P.Beauv</w:t>
      </w:r>
      <w:r>
        <w:rPr>
          <w:rFonts w:ascii="Times New Roman" w:hAnsi="Times New Roman" w:cs="Times New Roman"/>
          <w:i/>
        </w:rPr>
        <w:t xml:space="preserve">, Annona senegalensis </w:t>
      </w:r>
      <w:r>
        <w:rPr>
          <w:rFonts w:ascii="Times New Roman" w:hAnsi="Times New Roman" w:cs="Times New Roman"/>
        </w:rPr>
        <w:t>Pers.</w:t>
      </w:r>
      <w:r>
        <w:rPr>
          <w:rFonts w:ascii="Times New Roman" w:hAnsi="Times New Roman" w:cs="Times New Roman"/>
          <w:i/>
        </w:rPr>
        <w:t xml:space="preserve">, Dialium guineense </w:t>
      </w:r>
      <w:r>
        <w:rPr>
          <w:rFonts w:ascii="Times New Roman" w:hAnsi="Times New Roman" w:cs="Times New Roman"/>
        </w:rPr>
        <w:t>Wild</w:t>
      </w:r>
      <w:r>
        <w:rPr>
          <w:rFonts w:ascii="Times New Roman" w:hAnsi="Times New Roman" w:cs="Times New Roman"/>
          <w:i/>
        </w:rPr>
        <w:t xml:space="preserve">, Vitex doniana, Lanatana camara </w:t>
      </w:r>
      <w:r>
        <w:rPr>
          <w:rFonts w:ascii="Times New Roman" w:hAnsi="Times New Roman" w:cs="Times New Roman"/>
        </w:rPr>
        <w:t>L.</w:t>
      </w:r>
      <w:r>
        <w:rPr>
          <w:rFonts w:ascii="Times New Roman" w:hAnsi="Times New Roman" w:cs="Times New Roman"/>
          <w:i/>
        </w:rPr>
        <w:t>, Mimusops elangi L., Coccocypselum aureum</w:t>
      </w:r>
      <w:r>
        <w:rPr>
          <w:rFonts w:ascii="Times New Roman" w:hAnsi="Times New Roman"/>
        </w:rPr>
        <w:t xml:space="preserve"> </w:t>
      </w:r>
      <w:r>
        <w:rPr>
          <w:rFonts w:ascii="Times New Roman" w:hAnsi="Times New Roman" w:cs="Times New Roman"/>
        </w:rPr>
        <w:t>were analyzed for their immune-boosting potentials. The compositions of vitamin C, vitamin E and trace</w:t>
      </w:r>
      <w:r>
        <w:rPr>
          <w:rFonts w:ascii="Times New Roman" w:hAnsi="Times New Roman" w:cs="Times New Roman"/>
        </w:rPr>
        <w:t xml:space="preserve"> elements were determined using Iodometric Titration, High Performance Liquid Chromatography and Atomic Absorption Spectrometry respectively. Vitamin C levels ranged from 6.1741 to 294.0029mg/kg, with </w:t>
      </w:r>
      <w:r>
        <w:rPr>
          <w:rFonts w:ascii="Times New Roman" w:hAnsi="Times New Roman" w:cs="Times New Roman"/>
          <w:i/>
        </w:rPr>
        <w:t>Dialium guineense</w:t>
      </w:r>
      <w:r>
        <w:rPr>
          <w:rFonts w:ascii="Times New Roman" w:hAnsi="Times New Roman" w:cs="Times New Roman"/>
        </w:rPr>
        <w:t xml:space="preserve"> showing the highest concentration. Vi</w:t>
      </w:r>
      <w:r>
        <w:rPr>
          <w:rFonts w:ascii="Times New Roman" w:hAnsi="Times New Roman" w:cs="Times New Roman"/>
        </w:rPr>
        <w:t xml:space="preserve">tamin E concentrations varied from 3.27 to 610.00mg/kg, with </w:t>
      </w:r>
      <w:r>
        <w:rPr>
          <w:rFonts w:ascii="Times New Roman" w:hAnsi="Times New Roman" w:cs="Times New Roman"/>
          <w:i/>
        </w:rPr>
        <w:t>Vitex doniana</w:t>
      </w:r>
      <w:r>
        <w:rPr>
          <w:rFonts w:ascii="Times New Roman" w:hAnsi="Times New Roman" w:cs="Times New Roman"/>
        </w:rPr>
        <w:t xml:space="preserve"> and </w:t>
      </w:r>
      <w:r>
        <w:rPr>
          <w:rFonts w:ascii="Times New Roman" w:hAnsi="Times New Roman" w:cs="Times New Roman"/>
          <w:i/>
        </w:rPr>
        <w:t>Dialium guineense</w:t>
      </w:r>
      <w:r>
        <w:rPr>
          <w:rFonts w:ascii="Times New Roman" w:hAnsi="Times New Roman" w:cs="Times New Roman"/>
        </w:rPr>
        <w:t xml:space="preserve"> exhibiting the highest levels. Zinc, Copper, Iron, and Selenium were found in notable concentrations across all fruits. Zinc concentrations ranged from 0.20 to</w:t>
      </w:r>
      <w:r>
        <w:rPr>
          <w:rFonts w:ascii="Times New Roman" w:hAnsi="Times New Roman" w:cs="Times New Roman"/>
        </w:rPr>
        <w:t xml:space="preserve"> 3.80mg/kg, with </w:t>
      </w:r>
      <w:r>
        <w:rPr>
          <w:rFonts w:ascii="Times New Roman" w:hAnsi="Times New Roman" w:cs="Times New Roman"/>
          <w:i/>
        </w:rPr>
        <w:t>Mimusops elangi</w:t>
      </w:r>
      <w:r>
        <w:rPr>
          <w:rFonts w:ascii="Times New Roman" w:hAnsi="Times New Roman" w:cs="Times New Roman"/>
        </w:rPr>
        <w:t xml:space="preserve"> and </w:t>
      </w:r>
      <w:r>
        <w:rPr>
          <w:rFonts w:ascii="Times New Roman" w:hAnsi="Times New Roman" w:cs="Times New Roman"/>
          <w:i/>
        </w:rPr>
        <w:t>Lantana camara</w:t>
      </w:r>
      <w:r>
        <w:rPr>
          <w:rFonts w:ascii="Times New Roman" w:hAnsi="Times New Roman" w:cs="Times New Roman"/>
        </w:rPr>
        <w:t xml:space="preserve"> having the highest values. Copper levels ranged from 5.60 to 43.60mg/kg, with </w:t>
      </w:r>
      <w:r>
        <w:rPr>
          <w:rFonts w:ascii="Times New Roman" w:hAnsi="Times New Roman" w:cs="Times New Roman"/>
          <w:i/>
        </w:rPr>
        <w:t>Annona senegalensis</w:t>
      </w:r>
      <w:r>
        <w:rPr>
          <w:rFonts w:ascii="Times New Roman" w:hAnsi="Times New Roman" w:cs="Times New Roman"/>
        </w:rPr>
        <w:t xml:space="preserve"> and </w:t>
      </w:r>
      <w:r>
        <w:rPr>
          <w:rFonts w:ascii="Times New Roman" w:hAnsi="Times New Roman" w:cs="Times New Roman"/>
          <w:i/>
        </w:rPr>
        <w:t>Lantana camara</w:t>
      </w:r>
      <w:r>
        <w:rPr>
          <w:rFonts w:ascii="Times New Roman" w:hAnsi="Times New Roman" w:cs="Times New Roman"/>
        </w:rPr>
        <w:t xml:space="preserve"> showing the highest concentrations. Iron concentrations varied from 0.60 to 3.40mg/kg, </w:t>
      </w:r>
      <w:r>
        <w:rPr>
          <w:rFonts w:ascii="Times New Roman" w:hAnsi="Times New Roman" w:cs="Times New Roman"/>
        </w:rPr>
        <w:t xml:space="preserve">with </w:t>
      </w:r>
      <w:r>
        <w:rPr>
          <w:rFonts w:ascii="Times New Roman" w:hAnsi="Times New Roman" w:cs="Times New Roman"/>
          <w:i/>
        </w:rPr>
        <w:t>Cola millenni</w:t>
      </w:r>
      <w:r>
        <w:rPr>
          <w:rFonts w:ascii="Times New Roman" w:hAnsi="Times New Roman" w:cs="Times New Roman"/>
        </w:rPr>
        <w:t xml:space="preserve"> and </w:t>
      </w:r>
      <w:r>
        <w:rPr>
          <w:rFonts w:ascii="Times New Roman" w:hAnsi="Times New Roman" w:cs="Times New Roman"/>
          <w:i/>
        </w:rPr>
        <w:t>Lantana camara</w:t>
      </w:r>
      <w:r>
        <w:rPr>
          <w:rFonts w:ascii="Times New Roman" w:hAnsi="Times New Roman" w:cs="Times New Roman"/>
        </w:rPr>
        <w:t xml:space="preserve"> displaying the highest values. Selenium concentrations ranged from 4.60 to 30.20mg/kg, with </w:t>
      </w:r>
      <w:r>
        <w:rPr>
          <w:rFonts w:ascii="Times New Roman" w:hAnsi="Times New Roman" w:cs="Times New Roman"/>
          <w:i/>
        </w:rPr>
        <w:t>Mimusops elangi</w:t>
      </w:r>
      <w:r>
        <w:rPr>
          <w:rFonts w:ascii="Times New Roman" w:hAnsi="Times New Roman" w:cs="Times New Roman"/>
        </w:rPr>
        <w:t xml:space="preserve"> recordin</w:t>
      </w:r>
      <w:r>
        <w:rPr>
          <w:rFonts w:ascii="Times New Roman" w:hAnsi="Times New Roman"/>
        </w:rPr>
        <w:t>g the highest concentration. This research has</w:t>
      </w:r>
      <w:r>
        <w:rPr>
          <w:rFonts w:ascii="Times New Roman" w:hAnsi="Times New Roman" w:cs="Times New Roman"/>
        </w:rPr>
        <w:t xml:space="preserve"> highlighted the fruits' rich content of</w:t>
      </w:r>
      <w:r>
        <w:rPr>
          <w:rFonts w:ascii="Times New Roman" w:hAnsi="Times New Roman"/>
        </w:rPr>
        <w:t xml:space="preserve"> Vitamins C and </w:t>
      </w:r>
      <w:r>
        <w:rPr>
          <w:rFonts w:ascii="Times New Roman" w:hAnsi="Times New Roman"/>
        </w:rPr>
        <w:t>E</w:t>
      </w:r>
      <w:r>
        <w:rPr>
          <w:rFonts w:ascii="Times New Roman" w:hAnsi="Times New Roman" w:cs="Times New Roman"/>
        </w:rPr>
        <w:t xml:space="preserve">, particularly emphasizing </w:t>
      </w:r>
      <w:r>
        <w:rPr>
          <w:rFonts w:ascii="Times New Roman" w:hAnsi="Times New Roman" w:cs="Times New Roman"/>
          <w:i/>
        </w:rPr>
        <w:t>Dialium guineense's</w:t>
      </w:r>
      <w:r>
        <w:rPr>
          <w:rFonts w:ascii="Times New Roman" w:hAnsi="Times New Roman" w:cs="Times New Roman"/>
        </w:rPr>
        <w:t xml:space="preserve"> potential for immune health. While all fruits contained immunity-boosting elements, </w:t>
      </w:r>
      <w:r>
        <w:rPr>
          <w:rFonts w:ascii="Times New Roman" w:hAnsi="Times New Roman" w:cs="Times New Roman"/>
          <w:i/>
        </w:rPr>
        <w:t>Lantana camara</w:t>
      </w:r>
      <w:r>
        <w:rPr>
          <w:rFonts w:ascii="Times New Roman" w:hAnsi="Times New Roman" w:cs="Times New Roman"/>
        </w:rPr>
        <w:t xml:space="preserve"> and </w:t>
      </w:r>
      <w:r>
        <w:rPr>
          <w:rFonts w:ascii="Times New Roman" w:hAnsi="Times New Roman" w:cs="Times New Roman"/>
          <w:i/>
        </w:rPr>
        <w:t>Mimusops elangi</w:t>
      </w:r>
      <w:r>
        <w:rPr>
          <w:rFonts w:ascii="Times New Roman" w:hAnsi="Times New Roman" w:cs="Times New Roman"/>
        </w:rPr>
        <w:t xml:space="preserve"> stood out for their higher trace element </w:t>
      </w:r>
      <w:r>
        <w:rPr>
          <w:rFonts w:ascii="Times New Roman" w:hAnsi="Times New Roman"/>
        </w:rPr>
        <w:t xml:space="preserve">concentrations. Further studies on the </w:t>
      </w:r>
      <w:r>
        <w:rPr>
          <w:rFonts w:ascii="Times New Roman" w:hAnsi="Times New Roman" w:cs="Times New Roman"/>
        </w:rPr>
        <w:t>essential</w:t>
      </w:r>
      <w:r>
        <w:rPr>
          <w:rFonts w:ascii="Times New Roman" w:hAnsi="Times New Roman" w:cs="Times New Roman"/>
        </w:rPr>
        <w:t xml:space="preserve"> micronutrients in the leaves, roots and barks of these</w:t>
      </w:r>
      <w:r>
        <w:rPr>
          <w:rFonts w:ascii="Times New Roman" w:hAnsi="Times New Roman"/>
        </w:rPr>
        <w:t xml:space="preserve"> fruits on the Plateau are needed to contribute to their nutritional significance </w:t>
      </w:r>
      <w:r>
        <w:rPr>
          <w:rFonts w:ascii="Times New Roman" w:hAnsi="Times New Roman" w:cs="Times New Roman"/>
        </w:rPr>
        <w:t>and their potenti</w:t>
      </w:r>
      <w:r>
        <w:rPr>
          <w:rFonts w:ascii="Times New Roman" w:hAnsi="Times New Roman"/>
        </w:rPr>
        <w:t xml:space="preserve">al in supporting immune health. </w:t>
      </w:r>
    </w:p>
    <w:p w:rsidR="00EA063A" w:rsidRDefault="0004525A" w:rsidP="007F4623">
      <w:pPr>
        <w:spacing w:line="240" w:lineRule="auto"/>
        <w:jc w:val="both"/>
        <w:rPr>
          <w:rFonts w:ascii="Times New Roman" w:hAnsi="Times New Roman" w:cs="Times New Roman"/>
          <w:b/>
          <w:bCs/>
        </w:rPr>
      </w:pPr>
      <w:r>
        <w:rPr>
          <w:rFonts w:ascii="Times New Roman" w:hAnsi="Times New Roman" w:cs="Times New Roman"/>
          <w:b/>
          <w:bCs/>
        </w:rPr>
        <w:t>Biography</w:t>
      </w:r>
    </w:p>
    <w:p w:rsidR="00EA063A" w:rsidRPr="0004525A" w:rsidRDefault="0004525A" w:rsidP="0004525A">
      <w:pPr>
        <w:spacing w:line="240" w:lineRule="auto"/>
        <w:jc w:val="both"/>
        <w:rPr>
          <w:rFonts w:ascii="Times New Roman" w:hAnsi="Times New Roman" w:cs="Times New Roman"/>
        </w:rPr>
      </w:pPr>
      <w:r>
        <w:rPr>
          <w:rFonts w:ascii="Times New Roman" w:hAnsi="Times New Roman" w:cs="Times New Roman"/>
        </w:rPr>
        <w:t>Grace, a successful lecturer, brings two years of invaluabl</w:t>
      </w:r>
      <w:r>
        <w:rPr>
          <w:rFonts w:ascii="Times New Roman" w:hAnsi="Times New Roman" w:cs="Times New Roman"/>
        </w:rPr>
        <w:t xml:space="preserve">e research experience to her academic pursuits. With a </w:t>
      </w:r>
      <w:r>
        <w:rPr>
          <w:rFonts w:hAnsi="Times New Roman" w:cs="Times New Roman"/>
        </w:rPr>
        <w:t>M</w:t>
      </w:r>
      <w:r>
        <w:rPr>
          <w:rFonts w:ascii="Times New Roman" w:hAnsi="Times New Roman" w:cs="Times New Roman"/>
        </w:rPr>
        <w:t xml:space="preserve">aster's </w:t>
      </w:r>
      <w:r>
        <w:rPr>
          <w:rFonts w:hAnsi="Times New Roman" w:cs="Times New Roman"/>
        </w:rPr>
        <w:t>D</w:t>
      </w:r>
      <w:r>
        <w:rPr>
          <w:rFonts w:ascii="Times New Roman" w:hAnsi="Times New Roman" w:cs="Times New Roman"/>
        </w:rPr>
        <w:t>egree in Analytical Chemistry, she is passionate about the intersection of science and societal well-being. Her research focuses on improving food safety and addressing malnutrition in her co</w:t>
      </w:r>
      <w:r>
        <w:rPr>
          <w:rFonts w:ascii="Times New Roman" w:hAnsi="Times New Roman" w:cs="Times New Roman"/>
        </w:rPr>
        <w:t>mmunity. Through meticulous investigation, she identifies indigenous fruits rich in nutritional value, aiming to enhance immunity and alleviate malnutrition within her community and beyond. Her work embodies a harmonious blend of scientific rigor and socia</w:t>
      </w:r>
      <w:r>
        <w:rPr>
          <w:rFonts w:ascii="Times New Roman" w:hAnsi="Times New Roman" w:cs="Times New Roman"/>
        </w:rPr>
        <w:t>l consciousness, reflecting a deep-seated commitment to enhancing public health outcomes. Grace is dedicated to identifying plants with significant nutritional benefits and developing innovative solutions to combat malnutrition and promote healthier lifest</w:t>
      </w:r>
      <w:r>
        <w:rPr>
          <w:rFonts w:ascii="Times New Roman" w:hAnsi="Times New Roman" w:cs="Times New Roman"/>
        </w:rPr>
        <w:t xml:space="preserve">yles. Her dedication to research and teaching serves as a catalyst for positive change, inspiring her students to think critically about scientific knowledge and its practical applications. Grace's dedication to advancing knowledge and promoting community </w:t>
      </w:r>
      <w:r>
        <w:rPr>
          <w:rFonts w:ascii="Times New Roman" w:hAnsi="Times New Roman" w:cs="Times New Roman"/>
        </w:rPr>
        <w:t>welfare exemplifies her status as a respected scholar and compassionate advocate for societal health and wellbeing.</w:t>
      </w:r>
      <w:bookmarkStart w:id="0" w:name="_GoBack"/>
      <w:bookmarkEnd w:id="0"/>
    </w:p>
    <w:sectPr w:rsidR="00EA063A" w:rsidRPr="00045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3A"/>
    <w:rsid w:val="0004525A"/>
    <w:rsid w:val="007F4623"/>
    <w:rsid w:val="00EA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cemichaeldalyop@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ZINOX</dc:creator>
  <cp:lastModifiedBy>Media-Stream</cp:lastModifiedBy>
  <cp:revision>7</cp:revision>
  <dcterms:created xsi:type="dcterms:W3CDTF">2024-01-10T22:59:00Z</dcterms:created>
  <dcterms:modified xsi:type="dcterms:W3CDTF">2024-03-22T07:03:00Z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fec4bb7832e74a3a8287652ffff7c21c</vt:lpwstr>
  </property>
</Properties>
</file>